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№5/05.01.2021 по търг. д. №23/2021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</w:t>
        <w:tab/>
        <w:br/>
        <w:tab/>
        <w:t xml:space="preserve"> </w:t>
        <w:tab/>
        <w:br/>
        <w:tab/>
        <w:t xml:space="preserve">София, 05.01.2021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отделение, в закрито заседание на пети януари две хиляди и двадесета и първа година в състав:</w:t>
        <w:tab/>
        <w:br/>
        <w:tab/>
        <w:t xml:space="preserve"> </w:t>
        <w:tab/>
        <w:br/>
        <w:tab/>
        <w:t xml:space="preserve"> ПРЕДСЕДАТЕЛ:ЕЛЕОНОРА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изслуша докладваното от съдията Чаначева т. дело №23/2021г.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ГПК, образувано по молба на Н. Г. П., с която се иска спиране на изпълнението на решение №260030 от 13.10.2020 г. по т. д. №86/2020г. на Пловдивски апелативен съд. 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намира, че молбата е процесуално допустима. Налице са изискванията на чл. 282, ал. 2 ГПК. Постъпила е в срок касационна жалба, заедно с приложение по чл. 284, ал. 3, т. 1 ГПК срещу постановеното решение на Софийски апелативен съд, изходяща от молителя. Следователно, налице е висящност на производството по чл. 288 ГПК, което е предпоставка за спирането на изпълнението до приключване на касационното производство.</w:t>
        <w:tab/>
        <w:br/>
        <w:tab/>
        <w:t xml:space="preserve"> </w:t>
        <w:tab/>
        <w:br/>
        <w:tab/>
        <w:t xml:space="preserve">Съгласно чл. 282, ал. 2, т. 1 ГПК спирането на изпълнението е обусловено от задължението на касатора /длъжник по изпълнението/ да представи надлежно обезпечение, което по решенията за парични вземания е равно на присъдената сума. Молителят е представил преводно нареждане, удостоверяващо, че е внесена по специалната сметка на ВКС сумата 58140.00лв. /удостоверено и от счетоводител при ВКС, че тази сума е постъпила по специалната сметка на ВКС на 18.12.2020г. /, съставляваща надлежно обезпечение, поради което молбата следва да бъде уважена.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ИЗПЪЛНЕНИЕТО на решение №260030 от 13.10.2020 г. по т. д. №86/2020г. на Пловдивски апелативен съд до приключване на касационното производство.</w:t>
        <w:tab/>
        <w:br/>
        <w:tab/>
        <w:t xml:space="preserve"> </w:t>
        <w:tab/>
        <w:br/>
        <w:tab/>
        <w:t xml:space="preserve">Препис от определението да се издаде на молителя.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