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29.07.2016 по конст. д. № 11/2016 на Конституционен съд на РБ, докладвано от Гроздан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29 юли 2016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 при участието на секретар-протоколиста Мариана Георгиева разгледа в закрито заседание на 29 юли 2016 г. конституционно дело № 11/2016 г., докладвано от съдията Гроздан Илиев.</w:t>
        <w:tab/>
        <w:br/>
        <w:tab/>
        <w:t xml:space="preserve">Производството е с основание по чл. 149, ал. 1, т. 2 от Конституцията на Република България и е във фазата по решаване на въпросите, свързани с допустимостта на искането каквото е изискването на чл.19, ал.1 от Закона за Конституционен съд (ЗКС).</w:t>
        <w:tab/>
        <w:br/>
        <w:tab/>
        <w:t xml:space="preserve">Делото е образувано по искане на омбудсмана на Република България на основание чл. 150, ал. 3 от Конституцията за обявяване на противоконституционност на Изборен кодекс (ИК), (обн., ДВ, бр. 19 от 5 март 2014 г. последно изменение и допълнение ДВ, бр. 57 от 22 юли 2016 г.), в частта относно уредбата на последиците при неупражняване на избирателното право.</w:t>
        <w:tab/>
        <w:br/>
        <w:tab/>
        <w:t xml:space="preserve">Предмет на искането е разпоредбата на чл. 242а ИК (нова).</w:t>
        <w:tab/>
        <w:br/>
        <w:tab/>
        <w:t xml:space="preserve">Съгласно чл. 242а, ал. 1 ИК лицата, които не са упражнили избирателното си право без уважителни причини в два поредни избора от един и същ вид, се заличават от избирателния списък за следващите избори и се вписват в списъка на заличените лица при условия и по ред, определени от Централната избирателна комисия.</w:t>
        <w:tab/>
        <w:br/>
        <w:tab/>
        <w:t xml:space="preserve">Според следващата ал. 2 на чл. 242а ИК, за да упражнят избирателното си право на следващите избори, заличените избиратели са длъжни да подадат писмено заявление до съответната общинска администрация по постоянен адрес за вписване в избирателния списък на съответната секция.</w:t>
        <w:tab/>
        <w:br/>
        <w:tab/>
        <w:t xml:space="preserve">С ал. 4 на чл. 242а ИК е уредено изключение от правилото по ал. 1 като е предвидено, че избирателят не се заличава от избирателния списък, ако докаже уважителни причини, които са го възпрепятствали да гласува. Посочени са и примери за непредвидени обстоятелства, които законодателят е приел за уважителни причини. Според ал. 5 на чл. 242а ИК установяването на непредвидените обстоятелства пред общинската администрация се извършва само с писмени доказателства.</w:t>
        <w:tab/>
        <w:br/>
        <w:tab/>
        <w:t xml:space="preserve">В разпоредбата на ал. 6 на чл. 242а ИК са посочени няколко категории български граждани спрямо които не действа правилото по ал. 1. Изключването от избирателните списъци не се прилага за българските граждани, пребиваващи извън страната, лицата с трайни увреждания, увредено зрение или затруднения в придвижването, както и лицата над 70- годишна възраст независимо от причините, поради които не са упражнили избирателното си право.</w:t>
        <w:tab/>
        <w:br/>
        <w:tab/>
        <w:t xml:space="preserve">Според омбудсмана разпоредбата на чл. 242а ИК е противоконституционна, тъй като противоречи на конституционните разпоредби на чл. 4 - принципа на правовата държава с предоставяне нормотворческа компетентност на Централната избирателна комисия да определи условията и реда за вписване на негласувалите избиратели в списъка на заличените лица; влиза в противоречие с чл. 6, ал. 2, според които всички граждани са равни пред закона, с въвеждането на различен подход към част от избирателите независимо от причините, поради които не са гласували; на чл. 10 и чл. 42, ал. 1 от Конституцията, където е дадена характеристиката на избирателното право като „ общо, равно и пряко, с тайно гласуване", уредени са условията за придобиване на избирателното право от всеки гражданин и изчерпателно са изброени ограниченията за упражняването на активно избирателно право при произвеждане на избори за държавни и местни органи на власт и на допитвания до народа, а заличаването от избирателните списъци като негативна последица от неупражняване правото на гласуване не е предвидена в тези или други конституционни разпоредби. В подкрепа на твърдението за противоконституционност в искането на омбудсмана са изложени подробни съображения.</w:t>
        <w:tab/>
        <w:br/>
        <w:tab/>
        <w:t xml:space="preserve">Конституционният съд съгласно чл. 19, ал. 1 от Закона за Конституционен съд (ЗКС), за да се произнесе по допустимостта на искането, съобрази следното:</w:t>
        <w:tab/>
        <w:br/>
        <w:tab/>
        <w:t xml:space="preserve">Съдът е сезиран от омбудсмана, който е легитимен субект на инициативата по чл. 150, ал. 3 от Конституцията.</w:t>
        <w:tab/>
        <w:br/>
        <w:tab/>
        <w:t xml:space="preserve">Конституционният съд е компетентен да се произнесе по направеното искане, тъй като съгласно чл. 149, ал. 1, т. 2 от Конституцията негов предмет е установяването на противоконституционност на разпоредба на закон. В случая с искането се поддържа противоречие на чл. 242а ИК с конституционни разпоредби уреждащи избирателното право на гражданите. По този предмет Конституционният съд не се е произнасял с решение или определение, включително и по неговата допустимост, поради което не е налице и отрицателната процесуална предпоставка по чл. 21, ал. 6 ЗКС, която да изключва неговата допустимост в настоящото производство.</w:t>
        <w:tab/>
        <w:br/>
        <w:tab/>
        <w:t xml:space="preserve">Искането е предявено в съгласие с изискването на чл. 17, ал. 1 и ал. 2 ЗКС - изготвено е в писмена форма с надлежно мотивирани фактически и правни съображения и след обнародване на оспорената разпоредба от ЗСВ.</w:t>
        <w:tab/>
        <w:br/>
        <w:tab/>
        <w:t xml:space="preserve">Водим от горните съображения съдът приема, че искането е допустимо и следва да бъде разгледано по същество.</w:t>
        <w:tab/>
        <w:br/>
        <w:tab/>
        <w:t xml:space="preserve">С оглед предмета на делото и на основание чл. 18, ал. 2 ЗКС като заинтересувани институции в производството следва да бъдат конституирани: Народното събрание, президентът на републиката,</w:t>
        <w:tab/>
        <w:br/>
        <w:tab/>
        <w:t xml:space="preserve">Министерският съвет, министърът на правосъдието, Върховният касационен съд, Върховният административен съд, главният прокурор, Висшият адвокатски съвет и Централната избирателна комисия.</w:t>
        <w:tab/>
        <w:br/>
        <w:tab/>
        <w:t xml:space="preserve">На основание чл. 20а, ал. 2 от Правилника за организацията на дейността на Конституционния съд (ПОДКС) съдът приема, че следва да отправи покана да предложат писмено становище по делото до сдружение „Гражданска инициатива за свободни и демократични избори", „Българско сдружение за честни избори и граждански права - Национална асоциация", Български хелзинкски комитет, Съюз на юристите в България, Асоциация за европейска интеграция и права на човека, Институт за модерна политика и фондация „Български адвокати за правата на човека".</w:t>
        <w:tab/>
        <w:br/>
        <w:tab/>
        <w:t xml:space="preserve">На основание чл. 20а, ал. 3 ПОДКС съдът приема, че следва да бъдат поканени да дадат писмено правно мнение по предмета на делото проф. д - р Емилия Друмева, проф. д-р Снежана Начева и проф. д-р Георги Близнашки, проф. д-р Пенчо Пенев и проф. д-р Пламен Киров.</w:t>
        <w:tab/>
        <w:br/>
        <w:tab/>
        <w:t xml:space="preserve">По изложените съображения и на основание чл. 149, ал. 1, т. 2 от Конституцията и чл. 19, ал. 1 от Закона за Конституционен съд Конституционният съд</w:t>
        <w:tab/>
        <w:br/>
        <w:tab/>
        <w:t xml:space="preserve"> ОПРЕДЕЛИ:</w:t>
        <w:tab/>
        <w:br/>
        <w:tab/>
        <w:t xml:space="preserve">Допуска за разглеждане по същество искането на омбудсмана на Република България за установяване на противоконституционност на чл. 242а от Изборен кодекс (обн., ДВ, бр.19 от 5 март 2014 г. последно изменение и допълнение ДВ, бр. 57 от 22 юли 2016 г.).</w:t>
        <w:tab/>
        <w:br/>
        <w:tab/>
        <w:t xml:space="preserve">Конституира като заинтересувани институции по делото Народното събрание, президента на Република България, Министерския съвет, министъра на правосъдието, Върховния касационен съд, Върховния административен съд, главния прокурор, Висшия адвокатски съвет и Централната избирателна комисия.</w:t>
        <w:tab/>
        <w:br/>
        <w:tab/>
        <w:t xml:space="preserve">Преписи от искането и настоящото определение да се изпратят на заинтересуваните институции, с указание в тридесетдневен срок от получаването да представят писмени становища.</w:t>
        <w:tab/>
        <w:br/>
        <w:tab/>
        <w:t xml:space="preserve">Препис от определението да се изпрати и на омбудсмана, който в тридесетдневен срок може да представи допълнителни аргументи по искането си.</w:t>
        <w:tab/>
        <w:br/>
        <w:tab/>
        <w:t xml:space="preserve">Отправя покана до сдружение „Гражданска инициатива за свободни и демократични избори", „Българско сдружение за честни избори и граждански права - Национална асоциация", Български хелзинкски комитет, Съюз на юристите в България, Асоциация за европейска интеграция и права на човека, Институт за модерна политика и фондация „Български адвокати за правата на човека" в същия срок да предложат писмено становище по делото, като им бъдат изпратени преписи от искането и настоящото определение.</w:t>
        <w:tab/>
        <w:br/>
        <w:tab/>
        <w:t xml:space="preserve">Отправя покана до проф. д-р Емилия Друмева, проф. д-р Снежана Начева и проф. д-р Георги Близнашки, проф. д-р Пенчо Пенев и проф. д-р Пламен Киров в същия срок да дадат писмено правно мнение по предмета на делото, като им бъдат изпратени преписи от искането и настоящото определение.</w:t>
        <w:tab/>
        <w:br/>
        <w:tab/>
        <w:t xml:space="preserve">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