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<w:body><w:p w14:paraId="6A7AF159" w14:textId="1F4AEADA" w:rsidR="002030A6" w:rsidRPr="00B20476" w:rsidRDefault="002030A6" w:rsidP="00B20476"><w:pPr><w:spacing w:after="240"/><w:jc w:val="center"/><w:rPr><w:b/><w:bCs/><w:sz w:val="28"/><w:szCs w:val="28"/></w:rPr></w:pPr><w:r w:rsidRPr="00B20476"><w:rPr><w:b/><w:bCs/><w:sz w:val="28"/><w:szCs w:val="28"/></w:rPr><w:t>Решение №1470/27.11.2020 по адм. д. №11630/2020 на ВАС</w:t></w:r></w:p><w:p w14:paraId="5F873711" w14:textId="77777777" w:rsidR="00EB4203" w:rsidRDefault="00047AEF" w:rsidP="003568EE"><w:pPr><w:spacing w:after="240"/><w:ind w:firstLine="851"/><w:jc w:val="both"/><w:rPr><w:rStyle w:val="SubtleReference"/><w:lang w:val="en-US"/></w:rPr></w:pPr><w:r w:rsidRPr="003568EE"><w:rPr><w:rStyle w:val="SubtleReference"/></w:rPr><w:t></w:t></w:r><w:r w:rsidR="00EB4203"><w:rPr><w:rStyle w:val="SubtleReference"/><w:lang w:val="en-US"/></w:rPr><w:t xml:space="preserve"> </w:t></w:r></w:p><w:p w14:paraId="78EFB3D2" w14:textId="73C2A980" w:rsidR="00047AEF" w:rsidRDefault="00047AEF" w:rsidP="00047AEF"><w:pPr><w:spacing w:after="240"/><w:ind w:firstLine="851"/><w:jc w:val="both"/><w:rPr><w:rStyle w:val="SubtleReference"/><w:b/><w:bCs/><w:color w:val="222A35" w:themeColor="text2" w:themeShade="80"/></w:rPr></w:pPr><w:r w:rsidRPr="003568EE"><w:rPr><w:rStyle w:val="SubtleReference"/><w:b/><w:bCs/><w:color w:val="222A35" w:themeColor="text2" w:themeShade="80"/></w:rPr><w:t></w:t></w:r></w:p><w:p w14:paraId="0D97DE0B" w14:textId="31E35869" w:rsidR="00EB4203" w:rsidRPr="003568EE" w:rsidRDefault="003568EE" w:rsidP="00A75127"><w:pPr><w:spacing w:after="240"/><w:ind w:firstLine="851"/><w:jc w:val="both"/><w:rPr><w:rStyle w:val="SubtleReference"/><w:b/><w:bCs/><w:color w:val="222A35" w:themeColor="text2" w:themeShade="80"/><w:lang w:val="en-US"/></w:rPr></w:pPr><w:r><w:rPr><w:rStyle w:val="SubtleReference"/><w:b/><w:bCs/><w:color w:val="222A35" w:themeColor="text2" w:themeShade="80"/><w:lang w:val="en-US"/></w:rPr><w:t></w:t></w:r></w:p><w:p w14:paraId="35F713DB" w14:textId="5ED6FE89" w:rsidR="00FC2797" w:rsidRPr="00B20476" w:rsidRDefault="00392F10" w:rsidP="00B20476"><w:pPr><w:spacing w:after="240"/><w:ind w:firstLine="851"/><w:jc w:val="both"/><w:rPr><w:sz w:val="24"/><w:szCs w:val="24"/></w:rPr></w:pPr><w:r w:rsidRPr="00B20476"><w:rPr><w:sz w:val="24"/><w:szCs w:val="24"/></w:rPr><w:t></w:t><w:tab/><w:br/><w:tab/><w:t xml:space="preserve">Производството е по реда на чл. 216 от ЗОП (ЗАКОН ЗА ОБЩЕСТВЕНИТЕ ПОРЪЧКИ) /ЗОП/ вр. с чл. 208 и сл. от Административнопроцесуалния кодекс /АПК/. </w:t><w:tab/><w:br/><w:tab/><w:t xml:space="preserve">Образувано е по касационна жалба на „А. И. Х Груп“ ЕООД, гр. С., представлявано от управителя Ю.Д и процесуален представител адвокат Костов срещу частта по т. 1, 2 и 3 от решение №769 от 1.10.2020г., постановено по преписка №КЗК-516 от 2020г. на Комисията за защита на конкуренцията /КЗК/. С него е оставена без уважение жалбата на дружеството срещу решение № 661-ЕР-19-ХК-Д-3/Р3 от дата 15.07.2020 г. на изпълнителния член и на председателя на Съвета на директорите на „Електроразпределение Юг“ ЕАД, за класиране на участниците и определяне на изпълнител след проведена „открита“ по вид процедура за възлагане на обществена поръчка с предмет: „Доставка, гаранционно обслужване и ремонт на фабрично нови, неупотребявани, товарни бордови автомобили с кран“, открита с решение № 661-EP-19-XK-Д-З/P1 от дата 17.01.2020 г. на възложителя; оставено е без уважение искането на жалбоподателя за възлагане на направени в производството разноски и са му възложени, да заплати на възложителя „ЕЛЕКТРОРАЗПРЕДЕЛЕНИЕ ЮГ“ ЕАД разноски за юрисконсултско възнаграждение в размер на 200 лева. Твърди неправилност на решението поради противоречие с материалния закон – касационно основание по чл. 209 т. 3 от АПК. Касаторът развива подробни доводи в касационна жалба относно несъгласие с изводите на КЗК, свързани с техническата част на предложението му във връзка с оферирария товарен автомобил. Иска отмяна на решението на КЗК и отмяна на решението на възложителя като се върне преписката за продължаване от последното законосъобразно действие по разглеждане на техническата оферта на жалбоподателя. Претендира присъждане на направените разноски по посочен в касационната жалба списък – държавна такса 1700 лв. и адвокатско възнаграждение – 1200 лв. </w:t><w:tab/><w:br/><w:tab/><w:t xml:space="preserve">Няма постъпили становища по подадената касационна жалба. </w:t><w:tab/><w:br/><w:tab/><w:t xml:space="preserve">Подадена е и частна жалба от същото дружество срещу т. 4 от диспозитива на описаното по-горе решение, с която се оставя без разглеждане жалбата му срещу решението на възложителя относно направеното от него оспорване на предложенията и офертите на класираните участници „Преос“ ЕООД и „Б. Б“ АД. Твърди неправилност на решението и в тази му част поради противоречие с материалния закон. Развива подробни доводи в частната жалба относно неправилните изводи на КЗК за наличие на влязъл в сила акт – решение на КЗК №447 от 4.6.2020г. по преписка №КЗК-242/265/2020г. относно констатациите, мотивите и изводите, свързани с офертите на посочените двама участници по предишно производство. Счита, че КЗК не се е произнасяла по същество по въпроса дали е налице нарушаване принципа на равнопоставеност при разглеждане на техническите предложения. Счита, че при връщането на преписката на възложителя е налице нова преценка и КЗК е допуснала съществено процесуално нарушение. </w:t><w:tab/><w:br/><w:tab/><w:t xml:space="preserve">Срещу така подадената частна жалба е постъпил отговор от „Електроразпределение Юг“ ЕАД, в който същата се оспорва с подробно изложени мотиви. Претендира присъждане на юрисконсултско възнаграждение. </w:t><w:tab/><w:br/><w:tab/><w:t xml:space="preserve">Представителят на Върховна административна прокуратура дава заключение за неоснователност на касационната жалба. </w:t><w:tab/><w:br/><w:tab/><w:t xml:space="preserve">Върховен административен съд, четвърто отделение като взе предвид разпоредбите на чл. 218 и сл. от АПК, приема за установено следното: </w:t><w:tab/><w:br/><w:tab/><w:t xml:space="preserve">Касационната жалба е допустима като подадена в срок и от надлежна страна. Частната жалба е допустима като подадена в срок и от надлежна страна. Разгледани по същество и двете са неоснователни по същество по следните съображения: </w:t><w:tab/><w:br/><w:tab/><w:t xml:space="preserve">Предмет на контрол пред КЗК е било решение № 661-ЕР-19-ХК-Д-3/Р3 от дата 15.07.2020 г. на изпълнителния член и на председателя на Съвета на директорите на „Електроразпределение Юг“ ЕАД, за класиране на участниците и определяне на изпълнител след проведена „открита“ по вид процедура за възлагане на обществена поръчка с предмет: „Доставка, гаранционно обслужване и ремонт на фабрично нови, неупотребявани, товарни бордови автомобили с кран“, открита с решение № 661-EP-19-XK-Д-З/P1 от дата 17.01.2020 г. на възложителя. По посочената обществена поръчка проверката за законосъобразност пред КЗК е за втори път. </w:t><w:tab/><w:br/><w:tab/><w:t xml:space="preserve">Първият път е било образувано производство по преписка № КЗК-242/14.04.2020 г. във връзка с постъпила жалба с вх. № ВХР-538/02.04.2020 г. от страна на "А. И. Х Груп" ЕООД срещу решение № 661-ЕР-19-ХК-Д-3/Р2 от 24.03.2020 г., издадено от член на съвета на директорите и от прокурист на "Електроразпределение Юг" ЕАД за класиране на участниците и определяне на изпълнител за същата обществена поръчка с предмет: "Доставка, гаранционно обслужване и ремонт на фабрично нови, неупотребявани, товарни бордови автомобили с кран", открита с Решение № 661-EP-19-XK-Д-З/P1 от дата 17.01.2020 г.“. В жалбата на "А. И. Х Груп" ЕООД са били оспорени установени от комисията несъответствия, възприети като основания за отстраняването на участника. Спорните констатации се отнасят до посочени в техническо предложение параметри на предлагания модел товарен автомобил, в т. ч. скоростна кутия на автомобила, пътен просвет и гумите. В тази връзка се навеждат доводи за немотивираност на процесния акт, издадените протоколи и доклад на комисията. Издадено е решение № 447 от дата 04.06.2020 г. на КЗК, постановено по адм. преписка № КЗК242/265/2020 г., с което процедурата е върната на етап разглеждане на техническото предложение на участника "А. И. Х Груп" ЕООД, с оглед необходимостта от излагане на ясни, относими и адекватни собствени мотиви по преценката за съответствие на техническото предложение на жалбоподателя. Едновременно с това КЗК в решението си е приела, че направените оспорвания на дружеството-касатор по отношение на офертните предложения на другите две участващи дружества „Преос“ и „Булавто“ са бланкетни, неконкретизирани и предвид изричната норма в ЗОП (ЗАКОН ЗА ОБЩЕСТВЕНИТЕ ПОРЪЧКИ), според която КЗК се произнася само по конкретно наведени оплаквания в жалбата пред нея, са и неоснователни. </w:t><w:tab/><w:br/><w:tab/><w:t xml:space="preserve">След връщане на процедурата е издадено оспорваното пред КЗК ново решение на възложителя. Като работата на комисията е обективирана в протокол № 3 от дата 13.07.2020 г. и в доклада от дата 14.07.2020 г., отразяващи работата на оценителната комисия, която е извършила повторен преглед и преценка съответствието на техническите предложения на участниците „А. И. Х Груп“ ЕООД и Консорциум „Екселор-КМТ“ с изискванията на възложителя, съгласно изложените в решение № 447 от 04.06.2020 г. по преписка на № КЗК-242/265/2020 г. на Комисията за защита на конкуренцията мотиви. Достигнат е извод отново за несъответствие на предложенията на двете дружества с изискванията и е направено предложение за отново отстраняването им. </w:t><w:tab/><w:br/><w:tab/><w:t xml:space="preserve">КЗК, в подробни мотиви и анализ на представените към преписката данни е приела, че жалбата на дружеството е неоснователна поради както наличие на подробни мотиви в решението на оценителната комисия и на възложителя, така и поради липса на данни са относимост на направеното предложение в техническите параметри, заложени в документацията на процесната обществена поръчка.Решението е правилно във всичките му части. </w:t><w:tab/><w:br/><w:tab/><w:t xml:space="preserve">Възложителят е изпълнил точно указанията, дадени с отменителното решение от КЗК. Оценителната комисия, назначена от възложителя за продължаване на процедурата, прилагайки разпоредбата на чл. 104, ал. 5 от ЗОП е извършила проверки по заявените от участника „А. И. Х ГРУП“ ЕООД данни, чрез изискване от този участник на разяснения или допълнителни доказателства за данните, посочени в офертата му, касаещи описаните по-горе спорни моменти, включително е поискала и информация от други органи и лица. Оценителната комисия за разлика от предходните си действия, е действала законосъобразно, и след като се е запознала наличната и с предоставената им допълнителна информация от официалния представител на производителя на автомобил MAN TGM 18.320 за България - MVB Truck & Bus Bulgaria АD, и с разясненията, дадени и от „А. И. Х ГРУП“ ЕООД, е извършила преценка за съответствие на техническото предложение на този участник с обявените изисквания за „Пътен просвет“, „Скоростна кутия“ и „Единични гуми за всички терени /off - road/“. Изводите, до които е достигнала оценителната комисия са подробно аргументирани и правилни, с изложени собствени мотиви, подкрепени с подробно описаните данни и факти, събрани по реда на чл. 104, ал. 5 от ЗОП, и сравнени с предложението на участника и дадените от същия разяснения. Относно параметъра „Пътен просвет“ се установява, че в своето техническо предложение участникът е декларирал стойност за този параметър - 410 мм, различна от действителната - 413 мм, която следва да бъде доказана с представяне на официални каталожни данни, брошури на производителя и др. по усмотрение на участника. Този факт се потвърждава и от самия жалбоподател и като участник в процесната процедура. Фактът на деклариране на стойност в техническото предложение на участника, различна от действителната се потвърждава и от официалния представител на производителя на автомобил MAN TGM 18.320 за България - MVB Truck & Bus Bulgaria АD, който посочва, че „Максималният теоретичен просвет на предложеният автомобил МАN TGM 18.320 4х4 ВВ, оборудван с единични гуми на двата моста тип „off-road” с размер 395/80 R20 е около 402 мм. Тука трябва да се вземе предвид, че поради натоварването и деформацията на гумите от тежестта в действителност той ще е по-малък. Относно параметъра „Скоростна кутия“ се установява се, че в своето техническо предложение участникът е декларирал стойност за този параметър - 6 (шест) степенна механична скоростна кутия, различна от действителната - (9) девет степенна механична скоростна кутия, която следва да бъде доказана с представяне на официални каталожни данни, брошури на производителя и др. по усмотрение на участника. Фактът на декларираната стойност в техническото предложение на участника, различна от действителната се потвърждава отново от официалния представител на производителя на автомобил MAN TGM 18.320 за България - MVB Truck & Bus Bulgaria АD, който посочва, че производителят предлага за конкретното шаси МАN TGM 4х4 само двигател D0836 (шест цилиндров) с различни мощности, като всеки от тях може да се комбинира само с механична 9 степенна скоростна кутия (ZF 9S 1310OD) или автоматизирана такава с 12 скорости (МАN TipMatic 1212 OD). Относно параметъра „Единични гуми за всички терени /off - road/. В своето техническо предложение участникът е декларирал отговор „ДА“, но в действителност този отговор не се потвърждава от приложения от самия участник снимков материал, който трябва да послужи за доказване на декларирания положителен отговор, където е онагледен автомобил с двойна задна гума. „А. И. Х ГРУП“ ЕООД е декларирало, че приложения снимков материал е единствено с илюстративен характер и доколкото от информацията от официалния представител на производителя на автомобил MAN TGM 18.320 за България - MVB Truck & Bus Bulgaria АD се установява, че този модел автомобил може да се достави с единични гуми за всички терени /off - road/, то може да се приеме, че в този случай не е налице промяна/несъответствие/разминаване на декларираното от участника волеизявление с изискването на възложителя. Последното, видно от протокола и доклада на оценителната комисия, също е прието, като отговарящо на обявените условия на поръчката. Различно е относно предложението на участника, свързано с описаните параметри „Пътен просвет“ и „Скоростна кутия“. За да докаже съответствие на декларираното волеизявление, относно тези параметри с приложените каталожни данни/брошури и др., на участника се налага не да представи разяснения или допълнителна информация, а се налага да промени именно декларираните параметри в техническото си предложение, за да може същото да бъде определено и посочено като отговарящо и доказано съгласно обявените условия на поръчката, което е в абсолютно противоречие с императивната забрана на чл. 104, ал. 5, изр. трето от ЗОП, а именно, че проверката и разясненията не могат да водят до промени в техническото и ценовото предложение на участниците. </w:t><w:tab/><w:br/><w:tab/><w:t xml:space="preserve">Правилно е приетото от КЗК, че оценителната комисия се е съобразила с мотивите, изложени в решение № 447 от 04.06.2020 г., постановено по адм. преписка № КЗК-242/265/2020 г. Налице са правилни процесуални и фактически действия от страна на помощния орган на възложителя, налице са и изложени от оценителната комисия собствени, аргументирани мотиви, относно предложението на „А. И. Х ГРУП“ ЕООД, които факти обуславят правилност и законосъобразност в действията, констатациите и предложенията на оценителната комисия. </w:t><w:tab/><w:br/><w:tab/><w:t xml:space="preserve">По отношение приетото за недопустимост на жалбата, в частта й относно оплаквания срещу предложенията на класираните участници в процедурата решението е правилно като краен резултат, но в противоречие с процесуалните изисквания. КЗК е приела недопустимост по допустима жалба, което е неправилно. Налице е решение на възложител за избор на изпълнител, което засяга права на жалбоподателя, поради което е налице правен интерес от оспорването на това решение. Налице е обаче неоснователност на оспорването в посочените от КЗК части, предвид описаните изводи в първото влязло в сила решение на КЗК по въпросите, поставени от обжалващия. КЗК е следвало само като мотиви да приеме неоснователност на оспорваните части, без да бъде оставяна жалба без разглеждане. Поради което следва решението на КЗК в частта, с която се оставя без разглеждане жалба на дружеството, да бъде само отменено като диспозитив. </w:t><w:tab/><w:br/><w:tab/><w:t xml:space="preserve">По изложените съображения и на основание чл. 221 ал. 2 от АПК, Върховен административен съд, четвърто отделениеРЕШИ: </w:t><w:tab/><w:br/><w:tab/><w:t xml:space="preserve">ОТМЕНЯ решение №769 от 1.10.2020г., постановено по преписка №КЗК-516 от 2020г. на Комисията за защита на конкуренцията САМО В ЧАСТТА му по т. 4 от диспозитива на решението. </w:t><w:tab/><w:br/><w:tab/><w:t xml:space="preserve">ОСТАВЯ В СИЛА решение №769 от 1.10.2020г., постановено по преписка №КЗК-516 от 2020г. на Комисията за защита на конкуренцията в останалите му части. </w:t><w:tab/><w:br/><w:tab/><w:t xml:space="preserve">ОСЪЖДА „А. И. Х Груп“ ЕООД, гр. С., представлявано от Ю.Д да заплати на „Електроразпределение Юг“ ЕАД, представлявано от А. Сипек сумата 200 лв. разноски за тази инстанция.Решението е окончателно.</w:t><w:tab/><w:br/><w:tab/><w:t xml:space="preserve"></w:t></w:r></w:p><w:p w14:paraId="1B71B1D1" w14:textId="77777777" w:rsidR="00392F10" w:rsidRPr="00B20476" w:rsidRDefault="00392F10"/><w:sectPr w:rsidR="00392F10" w:rsidRPr="00B20476" w:rsidSect="00F22E91"><w:headerReference w:type="even" r:id="rId7"/><w:headerReference w:type="default" r:id="rId8"/><w:footerReference w:type="even" r:id="rId9"/><w:footerReference w:type="default" r:id="rId10"/><w:headerReference w:type="first" r:id="rId11"/><w:footerReference w:type="first" r:id="rId12"/><w:pgSz w:w="11906" w:h="16838"/><w:pgMar w:top="1417" w:right="1417" w:bottom="1417" w:left="1417" w:header="708" w:footer="708" w:gutter="0"/><w:cols w:space="708"/><w:docGrid w:linePitch="360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