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№438/04.06.2012 по нак. д. №2303/2011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Република България,Първо наказателно отделение в съдебно заседание на пети октомври две хиляди и единадесета година в състав,</w:t>
        <w:tab/>
        <w:br/>
        <w:tab/>
        <w:t xml:space="preserve"/>
        <w:tab/>
        <w:br/>
        <w:tab/>
        <w:t xml:space="preserve">ПРЕДСЕДАТЕЛ:ПЛАМЕН ТОМОВ</w:t>
        <w:tab/>
        <w:br/>
        <w:tab/>
        <w:t xml:space="preserve"> </w:t>
        <w:tab/>
        <w:br/>
        <w:tab/>
        <w:t xml:space="preserve"> ЧЛЕНОВЕ:РУЖЕНА КЕРАНОВА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присъствието на прокурор НИКОЛАЙ ЛЮБЕНОВ</w:t>
        <w:tab/>
        <w:br/>
        <w:tab/>
        <w:t xml:space="preserve"> </w:t>
        <w:tab/>
        <w:br/>
        <w:tab/>
        <w:t xml:space="preserve">изслуша докладваното</w:t>
        <w:tab/>
        <w:br/>
        <w:tab/>
        <w:t xml:space="preserve"> </w:t>
        <w:tab/>
        <w:br/>
        <w:tab/>
        <w:t xml:space="preserve">от съдията /председател/ ПЛАМЕН ТОМОВ</w:t>
        <w:tab/>
        <w:br/>
        <w:tab/>
        <w:t xml:space="preserve"> </w:t>
        <w:tab/>
        <w:br/>
        <w:tab/>
        <w:t xml:space="preserve">наказателно дело № 2303/2011 г.</w:t>
        <w:tab/>
        <w:br/>
        <w:tab/>
        <w:t xml:space="preserve"> </w:t>
        <w:tab/>
        <w:br/>
        <w:tab/>
        <w:t xml:space="preserve"> ВКС е трета инстанция по делото пред него след жалба от името на подсъдимия Л. К. Ш. срещу потвърждаването от Пловдивския апелативен съд на осъдителната присъда спрямо подсъдимия на Старозагорския окръжен съд.</w:t>
        <w:tab/>
        <w:br/>
        <w:tab/>
        <w:t xml:space="preserve"> </w:t>
        <w:tab/>
        <w:br/>
        <w:tab/>
        <w:t xml:space="preserve"> Първоинстанционната присъда – 23 от 25 януари 2011 г. по нохд № 735/09 г., е за престъпление по чл. 252, ал. 1 НК. Подсъдимият Ш. е наказан с лишаване от свобода за 2 г. условно с 3 – годишен изпитателен срок, за това, че в периода 1998-2003 г. е заел 9 пъти на различни лица общо 122590 лв.-извършване по занятие на банкови сделки (банково всъщност кредитиране). Наказанието лишаване от свобода е в размер под минимума от 3 г., предвиден в закона, заради особените смекчаващи обстоятелства по делото (чл. 55) НК, заради което не му е наложена и предвидената в закона конфискация на имущество.</w:t>
        <w:tab/>
        <w:br/>
        <w:tab/>
        <w:t xml:space="preserve"> </w:t>
        <w:tab/>
        <w:br/>
        <w:tab/>
        <w:t xml:space="preserve"> Второинстанционното (въззивно) решение за потвърждаване на присъдата-74 от 30 май 2011 г. по внохд 191/11 г., е постановено пак по жалба от името на подсъдимия Ш., но и по протест от прокурора.</w:t>
        <w:tab/>
        <w:br/>
        <w:tab/>
        <w:t xml:space="preserve"> </w:t>
        <w:tab/>
        <w:br/>
        <w:tab/>
        <w:t xml:space="preserve"> В подадената сега (касационна) жалба се настоява само за оправдаването на подсъдимия още в тази съдебна инстанция, въпреки че доводите за това са свързани с всички основания по чл. 348 НПК и някои от тях не го позволяват (например явната несправедливост на наложеното наказание, при която отговорността би могло да бъде само смекчена, но не и да отпадне.</w:t>
        <w:tab/>
        <w:br/>
        <w:tab/>
        <w:t xml:space="preserve"> </w:t>
        <w:tab/>
        <w:br/>
        <w:tab/>
        <w:t xml:space="preserve"> Жалбата е поддържана и в съдебното заседание на касационния съд, а според прокурора тя е неоснователна.</w:t>
        <w:tab/>
        <w:br/>
        <w:tab/>
        <w:t xml:space="preserve"> </w:t>
        <w:tab/>
        <w:br/>
        <w:tab/>
        <w:t xml:space="preserve"> ВКС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 Оспорването на въззивния акт е неубедително, но друго няма и как да бъде на фона на аргументацията в него-била собствената на апелативния съд, била подкрепена от него в присъдата.</w:t>
        <w:tab/>
        <w:br/>
        <w:tab/>
        <w:t xml:space="preserve"> </w:t>
        <w:tab/>
        <w:br/>
        <w:tab/>
        <w:t xml:space="preserve"> За касационния жалбоподател очевидно се е оказало излишно да излага подробни възражения по всеки от спорните въпроси, задоволил се е само с маркирането им, при това не винаги съвсем коректно, както например с твърденията, основани на неправилни изчисления на лихвите по заемите, или за предубеденост в състава на апелативния съд ( в първата насока изчисленията са били само ориентировъчни, но обвинението е стъпило върху гласни доказателства св. Д., например, винаги е говорил за „вноска от 700 лв.”, въпреки че 3 % месечна лихва върху 25 000 лв. са наистина 750 лв.; във втората насока за предубеденост изобщо няма място при положение, че предметът на предварително разгледаното с участието на съдиите Р., К. и Р. чвнд № 482/08 дори не е налагането на обезпечителна мярка по реда на чл. 72 НПК-съдът е отхвърлил жалбата на подсъдимия единствено срещу връщането като просрочена на друга негова жалба).</w:t>
        <w:tab/>
        <w:br/>
        <w:tab/>
        <w:t xml:space="preserve"> </w:t>
        <w:tab/>
        <w:br/>
        <w:tab/>
        <w:t xml:space="preserve"> От друга страна, само маркирането на възраженията срещу отделни доказателствени изводи за отговорността на подсъдимия, е съпроводено с доста едностранчиво позоваване на съответните свидетели. Пристрастието е обяснимо, но недостатъчно да бъде отхвърлено обективното, всестранно и пълно обсъждане на свидетелските показания, което се съдържа в мотивите на СтзОС (за действителните отношения между Ш. и неговите „клиенти” срв. Например обсъденото в мотивите към първоинстанционната присъда на с. 11-16 и голословното му отричане е касационната жалба във връзка със свидетелите М., В., П., Р., Д., М. и М.). Едновременно с това дори да се приеме за доказано например, че Р. и Д. са търсели съдружие с подсъдимия или пък че М. не е върнал заетите пари, отношенията между тях не губят белезите, заради които са инкриминирани.</w:t>
        <w:tab/>
        <w:br/>
        <w:tab/>
        <w:t xml:space="preserve"> </w:t>
        <w:tab/>
        <w:br/>
        <w:tab/>
        <w:t xml:space="preserve"> Също фрагментарно, но не и съвсем точно е оспорването на правните изводи за търсената от Ш. наказателна отговорност.</w:t>
        <w:tab/>
        <w:br/>
        <w:tab/>
        <w:t xml:space="preserve"> </w:t>
        <w:tab/>
        <w:br/>
        <w:tab/>
        <w:t xml:space="preserve"> Преди всичко престъплението по чл. 252, ал. 1 НК не е резултатно с предвидени в състава му вредни последици, за да се поддържа, че [о]сновното в текста […] е да са предоставени средства срещу насрещна материална облага. Когато такава материална облага липсва или същата не е доказана, деянието е несъставомерно”(кас. жалба, с. 2). Всъщност, строго погледнато, „материалната облага” въобще не е признак от състава престъплението, даже и по втората алинея на чл. 252 НК – доколкото облагата невинаги е огледална последица на вредата. Обвинението, а след това и съдилищата в предходните инстанции са имали вероятно предвид единствено възмездния характер на извършваното от подсъдимия кредитиране, но са съобразили, че доказателствата са недостатъчни за посочване на точния размер на облагодетелстването.</w:t>
        <w:tab/>
        <w:br/>
        <w:tab/>
        <w:t xml:space="preserve"> </w:t>
        <w:tab/>
        <w:br/>
        <w:tab/>
        <w:t xml:space="preserve"> Неточно е и разбирането, че дейност инкриминираната кредитна не е извършвана „по занятие”, ако не е „за получаване на доходи с цел посрещане на ежедневни нужди за преживяване” (кас. жалба, с. 3). Съдилищата в Стара Загора и Пловдив също не са изхождали от такова тясно схващане на житейските нужди, макар понякога предназначението на дохода от заемите да е определяно само като издръжка (без уточнението като основна или допълнителна).</w:t>
        <w:tab/>
        <w:br/>
        <w:tab/>
        <w:t xml:space="preserve"> </w:t>
        <w:tab/>
        <w:br/>
        <w:tab/>
        <w:t xml:space="preserve"> Що се отнася до останалите възражения от правно естество, маркирани в касационната жалба, като например свързаните с приложението на чл. 286 от Търговския закон и на чл. 2, ал. 2 НК във връзка с различните банкови закони в инкриминирания период, на тях е даден правилен и достатъчно пълен отговор в обжалваното решение.</w:t>
        <w:tab/>
        <w:br/>
        <w:tab/>
        <w:t xml:space="preserve"> </w:t>
        <w:tab/>
        <w:br/>
        <w:tab/>
        <w:t xml:space="preserve"> Такъв е и отговорът на възражението за явна несправедливост на наложеното наказание, което за разлика от останалите стига само до позоваването на съответното касационно основание.</w:t>
        <w:tab/>
        <w:br/>
        <w:tab/>
        <w:t xml:space="preserve"> </w:t>
        <w:tab/>
        <w:br/>
        <w:tab/>
        <w:t xml:space="preserve"> Ръководен от всичко изложено и съобразно още с чл. 354, ал. 1, т. 1 НПК, ВКС – І н.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74 от 30 май 2011 г. по внохд № 191/2011 г. на Пловдивския апелативен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