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№744/15.10.2014 по ч.гр.д. №4489/2014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744</w:t>
        <w:tab/>
        <w:br/>
        <w:tab/>
        <w:t xml:space="preserve"> </w:t>
        <w:tab/>
        <w:br/>
        <w:tab/>
        <w:t xml:space="preserve"> [населено място],15.10..2014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13.10.2014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О. КЕРЕЛСКА</w:t>
        <w:tab/>
        <w:br/>
        <w:tab/>
        <w:t xml:space="preserve"> </w:t>
        <w:tab/>
        <w:br/>
        <w:tab/>
        <w:t xml:space="preserve">Като разгледа докладваното от съдия И. ч. гр. д. №4489/14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> </w:t>
        <w:tab/>
        <w:br/>
        <w:tab/>
        <w:t xml:space="preserve"> Образувано е по частна жалба на К. Б. срещу разпореждане от 29.05.14 г. на съдия в Апелативен съд С. /АС/ по ч. гр. д. №2174/13 г., с което е върната поради неотстранени нередовности частната касационна жалба на същия жалбоподател срещу постановеното по делото въззивно определение от 4.10.13 г. В частната жалба се правят оплаквания за неправилност – незаконосъобразност, на разпореждането и се иска отмяната му. </w:t>
        <w:tab/>
        <w:br/>
        <w:tab/>
        <w:t xml:space="preserve"> </w:t>
        <w:tab/>
        <w:br/>
        <w:tab/>
        <w:t xml:space="preserve"> Частната жалба е подадена в срока по чл. 275 ГПК срещу подлежащо на обжалване разпореждане и е допустима.</w:t>
        <w:tab/>
        <w:br/>
        <w:tab/>
        <w:t xml:space="preserve"> </w:t>
        <w:tab/>
        <w:br/>
        <w:tab/>
        <w:t xml:space="preserve"> ВКС, като разгледа частната жалба, намира следното: В обжалваното разпореждане е прието, че нередовностите на частната касационна жалба не са отстранени от касатора, чрез назначения му на осн. чл. 95, ал. 2 ГПК, вр. с чл. 23 и 21 от ЗППП служебен адвокат П. Р., в указания от съда седмичен срок. Посочено е, че срокът тече от деня, в който на адв. Р. е връчено по реда на чл. 51, ал. 1 ГПК разпореждането на съда от 14.04.14 г., с което е назначен за служебен адвокат с конкретни правомощия / съдържащи указания за отстраняване нередовностите в касационната частна жалба на подзащитния К. Б./. </w:t>
        <w:tab/>
        <w:br/>
        <w:tab/>
        <w:t xml:space="preserve"> </w:t>
        <w:tab/>
        <w:br/>
        <w:tab/>
        <w:t xml:space="preserve"> В приложеното съобщение е удостоверено, че разпореждането за назначаване на служебен защитник с указания до него е връчено на поименно посочен колега на адвокат Р. от „същия адрес”. Не е посочено обаче, че колегата работи в кантората на адвоката / на един и същ адрес, в случая конкретизиран до етаж от сграда, е възможно да има повече от една кантора/, както изисква чл. 51, ал. 1 ГПК. Или в случая редовността на връчването на разпореждането с указания не е несъмнена, а съмнението следва да се тълкува в полза на жалбоподателя / р. по т. д. №579/09 г. на първо т. о. и по ч. т.д. №190/12 г. на второ т. о. на ВКС/. </w:t>
        <w:tab/>
        <w:br/>
        <w:tab/>
        <w:t xml:space="preserve"> </w:t>
        <w:tab/>
        <w:br/>
        <w:tab/>
        <w:t xml:space="preserve"> Обжалваното разпореждане следва да се отмени и делото – върне на АС, за ново връчване на разпореждането от 14.04.14 г. при спазване на формалните изисквания на закона, които обезпечават в максимална степен достигането на указанията до техния адресат – назначения служебен адвокат.</w:t>
        <w:tab/>
        <w:br/>
        <w:tab/>
        <w:t xml:space="preserve"> </w:t>
        <w:tab/>
        <w:br/>
        <w:tab/>
        <w:t xml:space="preserve"> Затова ВКС на РБ, трето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разпореждане от 29.05.14 г. по ч. гр. д. №2174/13 г. на Апелативен съд С..</w:t>
        <w:tab/>
        <w:br/>
        <w:tab/>
        <w:t xml:space="preserve"> </w:t>
        <w:tab/>
        <w:br/>
        <w:tab/>
        <w:t xml:space="preserve"> ВРЪЩА делото на същия съд, с дадени в мотивите на определението указания.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