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№31/11.02.2021 по гр. д. №712/2019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</w:t>
        <w:tab/>
        <w:br/>
        <w:tab/>
        <w:t xml:space="preserve"> </w:t>
        <w:tab/>
        <w:br/>
        <w:tab/>
        <w:t xml:space="preserve">гр. София, 11 февруари 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девети февруари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разгледа, докладваното от съдия Б. Ц, гр. дело № 712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191/07.05.2019 г. производството по делото е спряно до приемане на тълкувателно решение по тълк. дело № 4/2017 г. на ОСГК на ВКС. Тълкувателното решение № 4/2017 по това тълкувателно дело е прието и е обявено на 01.02.2021 г., поради което е отпаднала пречката за движението на настоящото дело и производството по него следва да се възобнови, съгласно чл. 230, ал. 1 и ал. 3 от ГПК, като делото следва да се насрочи за разглеждане и произнасяне по реда на чл. 288 от ГПК в закрито съдебно заседание.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дело № 712/2019 г. по описа на Върховния касационен съд, Четвърто гражданско отделение. 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ВКС за насрочване за разглеждане и произнасяне по реда на чл. 288 от ГПК в закрито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