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№215/17.10.2019 по търг. д. №199/2019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215 гр.София, 17.10.2019 година</w:t>
        <w:tab/>
        <w:br/>
        <w:tab/>
        <w:t xml:space="preserve"> </w:t>
        <w:tab/>
        <w:br/>
        <w:tab/>
        <w:t xml:space="preserve">В ИМЕТО НА НАРОДА</w:t>
        <w:tab/>
        <w:br/>
        <w:tab/>
        <w:t xml:space="preserve"> </w:t>
        <w:tab/>
        <w:br/>
        <w:tab/>
        <w:t xml:space="preserve">ВЪРХОВЕН КАСАЦИОНЕН СЪД на Р. Б, Търговска колегия, Първо отделение, в закрито заседание на десети октомври през две хиляди и деветнадесета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 199 описа за 2019г.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282 от ГПК. </w:t>
        <w:tab/>
        <w:br/>
        <w:tab/>
        <w:t xml:space="preserve"> </w:t>
        <w:tab/>
        <w:br/>
        <w:tab/>
        <w:t xml:space="preserve">Постъпила е молба с вх. №7753/10.09.2019г. от адв.В. В. и адв. доц. д-р П. Б., в качеството им на процесуални представители на ответниците по касация, за увеличаване размера на внесената от „Д. ГЛ СЕ (DNV GL SE)” гаранция със сумата от 1 305 027, 75 лв., представляваща лихви, начислени за периода от постановяване на първоинстанционното решение до 10.09.2019г. Молителите поддържат становище, че е налице риск от затруднение при удовлетворяване на вземането за дължимите лихви с оглед липсата на надлежно обезпечение. </w:t>
        <w:tab/>
        <w:br/>
        <w:tab/>
        <w:t xml:space="preserve"> </w:t>
        <w:tab/>
        <w:br/>
        <w:tab/>
        <w:t xml:space="preserve">Касационният жалбоподател „Д. ГЛ СЕ (DNV GL SE)” излага съображения, че молбата е недопустима, евентуално неоснователна. Поддържа, че размерът на дължимата гаранция за спиране на изпълнението на въззивното решение отговаря на присъдените вземания съгласно диспозитивите на първоинстанционното и въззивното решение. </w:t>
        <w:tab/>
        <w:br/>
        <w:tab/>
        <w:t xml:space="preserve"> </w:t>
        <w:tab/>
        <w:br/>
        <w:tab/>
        <w:t xml:space="preserve">Върховният касационен съд, Търговска колегия, I отделение намира, че не са налице предпоставки за увеличаване размера на внесената от „Д. ГЛ СЕ (DNV GL SE)” гаранция. </w:t>
        <w:tab/>
        <w:br/>
        <w:tab/>
        <w:t xml:space="preserve"> </w:t>
        <w:tab/>
        <w:br/>
        <w:tab/>
        <w:t xml:space="preserve">Разпоредбата на чл. 282, ал. 2, т. 1 от ГПК предвижда като предпоставка за спиране на изпълнението на въззивното решение представяне на надлежно обезпечение в размер на присъдената с решението сума, когато искът е за парично вземане. Внесената гаранция обезпечава само главницата и обезщетението за забава за период, предхождащ завеждането на иска. В подкрепа на горното е и приетото в разясненията по т. 1 от Тълкувателно решение № 6/23.10.2015г. по тълк. д. № 6/2014г. на ОСГТК на ВКС, според които в хипотезата на чл. 282, ал. 2, т. 1 от ГПК изискването за размера на заложената парична сума е същата да съответства на присъдената по невлязлото в сила осъдително въззивно решение сума. За касатора следва да съществува яснота какъв е размерът на дължимото обезпечение по чл. 282, ал. 2, т. 1 от ГПК още при предявяване на искането му за спиране изпълнението на невлязлото в сила осъдително въззивно решение, поради което следва да се приеме, че в понятието „присъдена сума” се включват уважените от съда за конкретна сума главни и акцесорни вземания, предмет на предявения иск, респ. искове, но не и относително определени и променливи във времето вземания, каквото е акцесорното вземане за лихви, изтекли след предявяване на иска, респ. исковете, чийто размер е обусловен и от периода от началния им момент до момента на погасяване на главното вземане. В настоящия случай с решение №176/18.01.2018г. по гр. д. №1264/2017г. на Софийски апелативен съд „Д. ГЛ СЕ (DNV GL SE)” е осъдено на основание чл. 49 вр. чл. 52 от ЗЗД да заплати обезщетения за вреди общо в размер на 4 818 888, 60 лв. Внесената на 17.10.2018г. по сметката за обезпечения на ВКС от дружеството гаранция е в размер на присъдените с въззивното решение суми.</w:t>
        <w:tab/>
        <w:br/>
        <w:tab/>
        <w:t xml:space="preserve"> </w:t>
        <w:tab/>
        <w:br/>
        <w:tab/>
        <w:t xml:space="preserve"> Следва да се отбележи и че изобщо не е предвидена възможност за изменение на размера на обезпечението по чл. 282, ал. 2, т. 1 от ГПК. Определението по чл. 282 от ГПК за спиране на изпълнението на въззивното решение не подлежи на обжалване, съответно след постановяването му размерът на определената гаранция не подлежи на преразглеждане.</w:t>
        <w:tab/>
        <w:br/>
        <w:tab/>
        <w:t xml:space="preserve"> </w:t>
        <w:tab/>
        <w:br/>
        <w:tab/>
        <w:t xml:space="preserve">С оглед на изложеното молбата на ответниците по касация за увеличаване размера на внесената от „Д. ГЛ СЕ (DNV GL SE)” гаранция със сумата от 1 305 027, 75 лв. следва да бъде оставена без уважение. </w:t>
        <w:tab/>
        <w:br/>
        <w:tab/>
        <w:t xml:space="preserve"> </w:t>
        <w:tab/>
        <w:br/>
        <w:tab/>
        <w:t xml:space="preserve">Воден от горното, Върховният касационен съд </w:t>
        <w:tab/>
        <w:br/>
        <w:tab/>
        <w:t xml:space="preserve"> </w:t>
        <w:tab/>
        <w:br/>
        <w:tab/>
        <w:t xml:space="preserve"> ОПРЕДЕЛИ: </w:t>
        <w:tab/>
        <w:br/>
        <w:tab/>
        <w:t xml:space="preserve"> </w:t>
        <w:tab/>
        <w:br/>
        <w:tab/>
        <w:t xml:space="preserve"> ОСТАВЯ БЕЗ УВАЖЕНИЕ молбата на Д. Г. Д., И.Г.М, Я. Нонкова М., Н. Н И., Доля Т. С., Т. Т. С. – П., В. Я. С., З. И. Д., П. И. И., Д. Г. Д., М. Д. Д. чрез неговия баща и законен представител Д. Г. Д., Г. Д. Д. чрез неговия баща и законен представител Д. Г. Д., П. И. Г., Д. П. Г., М. П. Г., Г. Г. П., Р. Г. П., С. Д. Г., Т. Х. Г. като законен наследник на Х. И. Г., С. К. Г., М. К. Г., Г. К. Г., С.Г.Н, М. Г. Г., Г. Ц. Б., Н. Ц. Б., Ц. И. Ф., Р. И. Г., И. В. М., Н. В. Л., М. П. П., К. П. П. и Р. П. П., представлявани от адв.В. В. и адв. доц. д-р П. Б., за увеличаване размера на внесената от „Д. ГЛ СЕ (DNV GL SE)”, със седалище Х., Ф. Р. Г, гаранция със сумата от 1 305 027, 75 лв.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