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№6926/28.05.2018 по адм. д. №8571/2017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 жалба на [фирма], със седалище и адрес на управление [населено място], [улица], подадена чрез изпълнителния директор на дружеството, против Решение № 85/26.05.2017г., постановено по административно дело № 20/2017г. по описа на Административен съд – Сливен, с което е отхвърлена жалбата на касатора против Акт за установяване на задължение по чл. 107, ал. 3 ДОПК № 2596-1 от 15.11.2016г. издаден от старши инспектор в отдел “Местни данъци и такси“ при община Н. З, с който по отношение на касатора е установен размер на задължения за периода 01.07.2016г.-31.12.2016г. за ДНИ и ТБО. </w:t>
        <w:tab/>
        <w:br/>
        <w:tab/>
        <w:t xml:space="preserve">Касаторът оспорва решението, като неправилно и незаконосъобразно, постановено в нарушение на материалния и процесуалния закон по подробно изложени в жалбата съображения. Иска да бъде отменено и спорът да бъде решен по същество. </w:t>
        <w:tab/>
        <w:br/>
        <w:tab/>
        <w:t xml:space="preserve">Ответникът по касационната жалба – началник отдел “Местни данъци и такси“,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седмо отделение, намира касационната жалба за процесуално допустима, като подадена от надлежна страна и в срока по чл. 211, ал. 1 АПК.Разгледана по същество е неоснователна. </w:t>
        <w:tab/>
        <w:br/>
        <w:tab/>
        <w:t xml:space="preserve">С обжалваното решение Административен съд – Сливен е отхвърлил жалбата на [фирма] срещу Акт за установяване на задължение по чл. 107, ал. 3 ДОПК № 2596-1 от 15.11.2016г., издаден от старши инспектор в отдел “Местни данъци и такси“ при община Н. З, с който по отношение на касатора са установени дължими задължения за периода 01.07.2016г.-31.12.2016г. за ДНИ и ТБО в общ размер на 2204, 89 лв., от които 2195.74 лв. главница и 9.15 лв. лихва. </w:t>
        <w:tab/>
        <w:br/>
        <w:tab/>
        <w:t xml:space="preserve">За да постанови този резултат първоинстанционният съд е счел, че обжалваният АУЗД е издаден от компетентен орган по чл. 9б ал. 2 от ЗМДТ (ЗАКОН ЗА МЕСТНИТЕ ДАНЪЦИ И ТАКСИ) (ЗМДТ), при спазване на изискването за форма, както и че определеното задължение е съобразено с нормите на ЗМДТ. Съдът е приел, че по отношение на имота на касатора относно така определените задължения не са опровергани констатациите в АУЗД. Така мотивиран съдът е отхвърлил жалбата като неоснователна .Решението е правилно. </w:t>
        <w:tab/>
        <w:br/>
        <w:tab/>
        <w:t xml:space="preserve">Първоинстанционният съд е установил правилно фактическата обстановка и въз основа на нея е извел правилни и законосъобразни изводи. </w:t>
        <w:tab/>
        <w:br/>
        <w:tab/>
        <w:t xml:space="preserve">Разпоредбата на чл. 10, ал. 1 във вр. с чл. 11, ал. 5 ЗМДТ предвижда, че с ДНИ се облагат разположените на територията на страната сгради и поземлени имоти в строителните граници на населените места и селищните образувания. Данъчно задължените лица са собствениците на облагаеми с данък недвижими имоти. </w:t>
        <w:tab/>
        <w:br/>
        <w:tab/>
        <w:t xml:space="preserve">Правилно е прието от съда, че определянето на размера на ДНИ за периода по акта за процесния имот е извършено при спазване на относимите материалноправни разпоредби. </w:t>
        <w:tab/>
        <w:br/>
        <w:tab/>
        <w:t xml:space="preserve">Съгласно чл. 5, ал. 1, т. 2 от Наредба за определяне размера на местните данъци на територията на община Н. З /НОРМДТОНЗ годишният размер на ДНИ за нежилищен имот /какъвто е процесният/ данъкът е 3 на хиляда върху данъчната оценка. Облагаемата основа е данъчната оценка. Последната за недвижимите имоти на предприятията е по-висока в сравнение с отчетната им стойност. Следователно размерът на ДНИ за процесния период е 975 887 х 3 на хиляда : 2, което се равнява на 1463.83лв., както е установено и в АУЗД. </w:t>
        <w:tab/>
        <w:br/>
        <w:tab/>
        <w:t xml:space="preserve">Според разпоредбата на чл. 62 ЗМДТ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 се заплаща такса, размерът на която се определя по реда на чл. 66 с. з.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Таксата се определя в годишен размер за всяко населено място с решение на общинския съвет въз основа на одобрена план-сметка за всяка дейност, включваща необходимите разходи за посочените в същата разпоредба дейности. </w:t>
        <w:tab/>
        <w:br/>
        <w:tab/>
        <w:t xml:space="preserve">Съгласно чл. 71 ЗМДТ не се събира такса за: 1.сметосъбиране и сметоизвозване, когато услугата не се предоставя от общината;2. поддържане чистотата на териториите за обществено ползване – когато услугата не се предоставя от общината; 3. обезвреждане на битовите отпадъци и поддържане на депа за битови отпадъци и други съоръжения за обезвреждане на битови отпадъци - когато няма такива. </w:t>
        <w:tab/>
        <w:br/>
        <w:tab/>
        <w:t xml:space="preserve">По делото няма спор, че дружеството е освободено от заплащане на ТБО за услугите по „сметосъбиране и сметоизвозване“ и „обезвреждане на битови отпадъци в депа или други съоръжения“. Определената ТБО е само за услугата „поддържане на чистотата на териториите за обществено ползване“. </w:t>
        <w:tab/>
        <w:br/>
        <w:tab/>
        <w:t xml:space="preserve">В съответствие с доказателствата съдът е установил, че процесният имот се намира в границите на [населено място], за което населено място Общината предоставя тази услуга, както и че през процесния период услугата е била реално извършвана по отношение на обществените територии в населеното място на [населено място]. Ето защо правилен се явява и изводът на съда, че ТБО е определена законосъобразно по основание и размер. </w:t>
        <w:tab/>
        <w:br/>
        <w:tab/>
        <w:t xml:space="preserve">Неоснователно е възражението на касатора, че задълженията са определени по неясни методики. Както правилно е приел и съдът задълженията са определени в съответствие с приложимите материалноправни разпоредби на ЗМДТ и на Наредба за определянето и администрирането на местните такси и цени на услуги на територията на община [община]/НОАМТЦУТОНЗ/, Горното се потвърждава и от заключението на вещото лице по назначената съдебно-счетоводна експертиза. </w:t>
        <w:tab/>
        <w:br/>
        <w:tab/>
        <w:t xml:space="preserve">Неоснователен е и доводът, че неизписването на трите имена на лицето, съставило АУЗД, е съществено нарушение на процесуалните правила. От приложеното и прието като доказателство по делото удостоверение за идентичност на имената се установява, че М. З. Н. и М. З. К. са едно и също лице. Така че, от една страна, компетентността на издателя на акта е безспорно установена, а от друга посочването само на двете имена на издателя на акта не съставлява нарушение на формата на съставения АУЗД. </w:t>
        <w:tab/>
        <w:br/>
        <w:tab/>
        <w:t xml:space="preserve">Предвид изложеното постановеното от Административен съд – Сливен решение е валидно, допустимо и правилно. Същото не страда от визираните в касационната жалба пороци и следва да бъде оставено в сила. </w:t>
        <w:tab/>
        <w:br/>
        <w:tab/>
        <w:t xml:space="preserve">Така мотивиран и на осн. чл. 221, ал. 2, предл. първо АПК, Върховният административен съд, състав на седмо отделениеРЕШИ :</w:t>
        <w:tab/>
        <w:br/>
        <w:tab/>
        <w:t xml:space="preserve">ОСТАВЯ В СИЛА Решение № 85/26.05.2017г., постановено по административно дело № 20/2017г. по описа на Административен съд – Сливен.Решението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