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№28/28.01.2022 по търг. д. №2482/2018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28</w:t>
        <w:tab/>
        <w:br/>
        <w:tab/>
        <w:t xml:space="preserve"/>
        <w:tab/>
        <w:br/>
        <w:tab/>
        <w:t xml:space="preserve"> гр. София, 28.01.2022 година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седми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 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2482 по описа за 2018г. и за да се произнесе, взе предвид следното: </w:t>
        <w:tab/>
        <w:br/>
        <w:tab/>
        <w:t xml:space="preserve"/>
        <w:tab/>
        <w:br/>
        <w:tab/>
        <w:t xml:space="preserve"> Касаторът П. Г. Б. от гр. Пловдив е подал частна жалба с вх. № 493/19.01.2022г. срещу определение от 23.11.2021г. по т. дело № 2482/2018г. на ВКС, ТК, Второ отделение, с което е оставена без уважение подадената от него молба вх. № 68921/23.11.2021г. /идентична молба вх. № 68897/22.11.2021г., постъпила на електронната поща на ВКС/ за предоставяне на правна помощ по чл. 95 ГПК.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с вх. № 493/19.01.2022г. срещу определението по чл. 95 ГПК е процесуално недопустима, тъй като е подадена след изтичане на преклузивния едноседмичен срок за обжалване. Предвид обстоятелството, че се касае до повторно подадена молба за предоставяне на правна помощ по конкретното дело и съобразно разпоредбата на чл. 287, ал. 1 във връзка с чл. 259, ал. 4 ГПК, срокът за обжалване на посоченото определение тече от датата на откритото съдебно заседание – 23.11.2021г. Частната жалба е подадена на 18.01.2022г., т. е. след изтичане на преклузивния едноседмичен срок, поради което следва да бъде върната на частния жалбоподател. </w:t>
        <w:tab/>
        <w:br/>
        <w:tab/>
        <w:t xml:space="preserve"/>
        <w:tab/>
        <w:br/>
        <w:tab/>
        <w:t xml:space="preserve">Мотивиран от горното и на основание чл. 275, ал. 2 във връзка с чл. 262, ал. 2, т. 1,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ВРЪЩА частна жалба с вх. № 493/19.01.2022г. срещу определение от 23.11.2021г. по т. дело № 2482/2018г. на ВКС, ТК, Второ отделение на П. Г. Б.. </w:t>
        <w:tab/>
        <w:br/>
        <w:tab/>
        <w:t xml:space="preserve"/>
        <w:tab/>
        <w:br/>
        <w:tab/>
        <w:t xml:space="preserve"> ОПРЕДЕЛЕНИЕТО подлежи на обжалване в едноседмичен срок от съобщението му с частна жалба пред друг тричленен състав на Върховния касационен съд, Търговска колегия.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