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№188/12.05.2022 по гр. д. №507/2022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188</w:t>
        <w:tab/>
        <w:br/>
        <w:tab/>
        <w:t xml:space="preserve"/>
        <w:tab/>
        <w:br/>
        <w:tab/>
        <w:t xml:space="preserve">гр. София 12.05.2022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осми март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СИМЕОН ЧАНАЧЕВ </w:t>
        <w:tab/>
        <w:br/>
        <w:tab/>
        <w:t xml:space="preserve"/>
        <w:tab/>
        <w:br/>
        <w:tab/>
        <w:t xml:space="preserve">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507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Н. И. Х. за отмяна на влязло в сила решение № 81 от 15.04.2021 г. по гр. дело № 64/2021 г. на Момчилградски районен съд.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 приема, че молбата е процесуално допустима по следните съображения:</w:t>
        <w:tab/>
        <w:br/>
        <w:tab/>
        <w:t xml:space="preserve"/>
        <w:tab/>
        <w:br/>
        <w:tab/>
        <w:t xml:space="preserve">Молбата отговаря на изискванията на чл. 260 и чл. 261 ГПК, съдържа мотивирано изложение на основанията за отмяна по чл. 303, ал. 1, т. 5 ГПК и изхожда от процесуално легитимирана страна. Подадена е на 18.01.2022 г., в предвидения в чл. 305, ал. 1, т. 5 ГПК преклузивен срок, с оглед наведените твърдения и представени от молителката доказателства /уведомление на ЧСИ per. № 741 Х. П. за извършен опис на недвижим имот/, че е узнала за влязлото в сила решение на 10.12.2021 г., както и предвид липсата на доказателства по делото това да е станало в по-ранен момент. Внесена е дължимата държавна такса и е връчен препис от молбата. Ответницата по молбата за отмяна е подала писмен отговор, в който се поддържа становище за нейната недопустимост, евентуално - неоснователност. Налице са предпоставките за произнасяне по същество, поради което молбата за отмяна следва да се допусне до разглеждане. По изложените съображения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Н. И. Х. за отмяна на влязло в сила решение № 81 от 15.04.2021 г. по гр. дело № 64/ 2021 г. на Момчилградски районен съд.</w:t>
        <w:tab/>
        <w:br/>
        <w:tab/>
        <w:t xml:space="preserve"/>
        <w:tab/>
        <w:br/>
        <w:tab/>
        <w:t xml:space="preserve">Делото да се докладва за насрочване на председателя на трето гражданско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