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№5535/05.05.2021 по адм. д. №12967/2020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Българския институт по метрология срещу Решение №4911 от 21.09.2020 г. на Административен съд София-град по адм. дело №948/2020 г. </w:t>
        <w:tab/>
        <w:br/>
        <w:tab/>
        <w:t xml:space="preserve">С обжалваното решение съдът е отхвърлил жалбата на института срещу Решение №ФК-2019-212 от 18.12.2019 г. на ръководителя на Управляващия орган (УО) на Оперативна програма "Добро управление" (ОПДУ), с което му е определена финансова корекция в размер на 25% върху допустимите, засегнати от нарушението разходи, по договори с Консорциум "Метроном" ДЗЗД от 08.10.2019 г. по обособени позиции 2 и 3 за нередности за нарушение на чл. 2, ал. 1, т. 1, 2 и 4 и ал. 2 във връзка с чл. 70, ал. 5, изр. последно и ал. 7, т. 1, 2 и 3, б. б) от ЗОП (ЗАКОН ЗА ОБЩЕСТВЕНИТЕ ПОРЪЧКИ) (ЗОП) и чл. 33, ал. 1 от Правилник за приложение на ЗОП (ЗАКОН ЗА ОБЩЕСТВЕНИТЕ ПОРЪЧКИ) (ППЗОП) и на чл. 2, ал. 1, т. 1 и 2 и ал. 2 във връзка с чл. 107, т. 1 ЗОП. </w:t>
        <w:tab/>
        <w:br/>
        <w:tab/>
        <w:t xml:space="preserve">Касационният жалбоподател – Българският институт по метрология, счита обжалваното решение за неправилно, постановено в нарушение на материалния закон, при съществени нарушения на съдопроизводствените правила и необосновано – касационни основания по чл. 209, т. 3 АПК. </w:t>
        <w:tab/>
        <w:br/>
        <w:tab/>
        <w:t xml:space="preserve">Твърди, че съдът бланкетно е възпроизвел в мотивите си съдържанието на административния акт, като не е изложил собствени мотиви по наведените доводи и не е обсъдил доказателствата по делото. </w:t>
        <w:tab/>
        <w:br/>
        <w:tab/>
        <w:t xml:space="preserve">Сочи, че едновременно със започване на административното производство по администриране на нередността, е направен отказ за верификация на поисканите разходи по двата сключени договора, което означава, че административният орган не е изчакал предоставяне на писмените доказателства и обясненията на жалбоподателя, за да приеме, че е налице нередност, а е бил предубеден, че е налице такава. Съответно последващите възражения на бенефициента, макар и обсъдени, неоснователно не са кредитирани, а представените към възраженията писмени доказателства изобщо не са обсъждани в нарушение на чл. 73, ал. 3 от Закон за управление на средствата от Европейските структурни и инвестиционни фондове (ЗУСЕСИФ). </w:t>
        <w:tab/>
        <w:br/>
        <w:tab/>
        <w:t xml:space="preserve">Твърди неправилност на извода на съда за нарушение на чл. 70, ал. 5, изр. 3, чл. 70, ал. 7, т. 1, 2 и т. 3, б. б) ЗОП и чл. 33, ал. 1 ППЗОП, доколкото тази разпоредби не касаят забрана за оценка на съдържанието на предложението на участниците, а до обвързването на тази оценка с неговата пълнота, яснота, детайлност, формалност и др. Включените в методиката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участниците, едновременно с което им осигуряват достатъчно информация за правилата, които ще се прилагат при определяне на оценката. Всеки от надграждащите елементи е свързан с предмета на поръчката, като заложените обстоятелства са относими към качеството на крайните резултати, доколкото по отношение на тях е поставено условие за повишаване качеството на изпълнение и на постигнатите резултати. В този смисъл сочи неправилност на извода на съда, че избраният подход не дава възможност да се оцени нивото на изпълнение, предложено във всяка оферта. </w:t>
        <w:tab/>
        <w:br/>
        <w:tab/>
        <w:t xml:space="preserve">Организацията за изпълнение на проекта е част от съдържанието на техническото предложение на участника и като такова представлява представяне на цялостна визия на участника за изпълнение на дейностите, включени в предмета на поръчката. Съгласно техническата спецификацията - неразделна част от документацията, възложителят е предвидил минималните дейности, а участниците следва да предложат организация на работата надграждаща ги и гарантираща качественото и срочно изпълнение на възложената услуга. Предвид факта, че са посочени в техническата спецификация, същото е задължително за допускане на участника до оценка и при покриването му участникът получава 0 точки. Основание за получаване на по-висок брой точки е предложението на участник да съдържа едно, съответно пет, идентифицирани от възложителя обстоятелства, наличието на които е индикация за задълбочен анализ на предмета на поръчката и разбиране на нуждите на възложителя и чрез които обективно ще се придаде съществена добавена стойност към предложението за изпълнение и ще се постигне по-качествено ниво на изпълнение на услугата. </w:t>
        <w:tab/>
        <w:br/>
        <w:tab/>
        <w:t xml:space="preserve">Твърди неправилност на изводите на съда по отношение на констатирано от органа нарушение на чл. 2, ал. 1, т. 1 и 2, ал. 2 във връзка с чл. 107, т. 1 ЗОП. Представените от участника обучения, извършени с договор от 05.01.2016 г. с възложител сдружение „Девин - минало, настояще, бъдеще“, попадат в относимия период за доказване на опит, тъй като в изискването е посочено, че всички обучения следва да са били извършвани през изтеклите три години, а така записано означава 2016, 2017 и 2018 г., защото процесната обществена поръчка е обявена през месец май 2019 г. </w:t>
        <w:tab/>
        <w:br/>
        <w:tab/>
        <w:t xml:space="preserve">Счита, че не са доказани вторият и третият елемент от фактическия състав на нередността по смисъла на чл. 2, т. 36 от Регламент (ЕС) № 1303/2013 на Европейския парламент и на Съвета от 17 декември 2013 година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 1083/2006 на Съвета (Регламент №1303/2013 г.). </w:t>
        <w:tab/>
        <w:br/>
        <w:tab/>
        <w:t xml:space="preserve">Твърди липса на изводи за реална, потенциална или хипотетична вреда на средства от ЕСИФ. </w:t>
        <w:tab/>
        <w:br/>
        <w:tab/>
        <w:t xml:space="preserve">Прави искане решението да бъде отменено, като бъде постановено друго, с което да се отмени оспореният акт. Претендира разноски за двете съдебни инстанции. Касаторът се представлява от пълномощник М. Н.. </w:t>
        <w:tab/>
        <w:br/>
        <w:tab/>
        <w:t xml:space="preserve">Ответникът по касационната жалба – ръководителят на Управляващия орган на Оперативна програма "Добро управление", счита същата за неоснователна. Излага възражения по доводите на касатора съответни на мотивите на оспорения административен акт. </w:t>
        <w:tab/>
        <w:br/>
        <w:tab/>
        <w:t xml:space="preserve">Прави искане съдът да остави в сила обжалваното решение. Претендира разноски по делото. Ответникът се представлява от пълномощник И. К..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акт.Разгледана по същество е неоснователна. </w:t>
        <w:tab/>
        <w:br/>
        <w:tab/>
        <w:t xml:space="preserve">За да постанови обжалваното решение първоинстанционният съд приема от фактическа страна, следното: </w:t>
        <w:tab/>
        <w:br/>
        <w:tab/>
        <w:t xml:space="preserve">На 06.07.2018 г. между Българския институт по метрология и УО на ОПДУ е сключен договор за предоставяне на безвъзмездна финансова помощ за проект "Повишаване на компетентността на персонала на Българския институт по метрология, свързана с осигуряване на международна еквивалентност на еталоните и проследимостта на измерванията в областта на магнитни измервания и измервания на структура на повърхност“. </w:t>
        <w:tab/>
        <w:br/>
        <w:tab/>
        <w:t xml:space="preserve">На 22.05.2019 г. с Решение №07-00-53-1 главният секретар на Българския институт по метрология открива открита процедура за възлагане на обществена поръчка с предмет: „Избор на изпълнители за осигуряване на логистика, организация и провеждане на обучения във връзка с повишаване на компетентността на персонала на Български институт по метрология“ по три обособени позиции, от които обособена позиция №2: „Избор на изпълнител за организация и провеждане на един брой специализирано обучение „Калибриране на средства за измерване на магнитни величини – оценяване на приносите на неопределеност и подробен бюджет за изчисляване на неопределеността“ и обособена позиция №3: „Избор на изпълнител за организация и провеждане на един брой специализирано обучение „Измерване на структура на повърхност, методи за измерване, еталони и оценяване на неопределеността от измерване“, които са по проект: „Повишаване на компетентността на персонала на Български институт по метрология, свързана с осигуряване на международна еквивалентност на еталоните и проследимостта на измерванията в областта на магнитни измервания и измервания на структура на повърхност“. Документацията за проведената обществена поръчка е публично достъпна на адрес: http://www.bim.government.bg/bg/view/profil-na-kupuvacha/obshtestveni-porachki-po-zop-2019/otkriti%20proceduri%202019/izbor-na-izpalniteli-za-osiguryavane-na-logistika-kompetentnostta-na-personala-na-bim </w:t>
        <w:tab/>
        <w:br/>
        <w:tab/>
        <w:t xml:space="preserve">На 08.10.2019 г. Българският институт по метрология сключва с Консорциум "Метроном" ДЗЗД договори по обособени позиции 2 и 3. </w:t>
        <w:tab/>
        <w:br/>
        <w:tab/>
        <w:t xml:space="preserve">На 26.11.2019 г. ръководителят на УО на ОПДУ уведомява Българския институт по метрология за установени нарушения при провеждане на процедурата, касаещи неправомерни критерии за възлагане на поръчката, заложени в методиката за оценка на офертите, незаконосъобразно избран изпълнител, незаконосъобразно отстраняване на участници от процедурата и липсващи документи и предстоящо определяне на финансова корекция </w:t>
        <w:tab/>
        <w:br/>
        <w:tab/>
        <w:t xml:space="preserve">На 10.12.2019 г. Българският институт по метрология подава възражение. </w:t>
        <w:tab/>
        <w:br/>
        <w:tab/>
        <w:t xml:space="preserve">На 18.12.2010 г. с Решение № ФК-2019-212 ръководителят на УО на ОПДУ определя на Българския институт по метрология финансова корекция в размер на 25% върху допустимите, засегнати от нарушението разходи, по договорите от 08.10.2019 г. с Консорциум "Метроном" ДЗЗД по обособени позиции 2 и 3, за нередности за нарушение на чл. 2, ал. 1, т. 1, 2 и 4 и ал. 2 във вр. с чл. 70, ал. 5, изр. последно и ал. 7, т. 1, 2 и 3, б. б) ЗОП и чл. 33, ал. 1 ППЗОП и на чл. 2, ал. 1, т. 1 и 2 и ал. 2 във вр. с чл. 107, т. 1 ЗОП, квалифицирани като нередности по т. 11, б. "а" и по т. 14, колона 3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(Наредбата). </w:t>
        <w:tab/>
        <w:br/>
        <w:tab/>
        <w:t xml:space="preserve">В хода на съдебното производство органът представя Заповед № Р-90 от 10.05.2017 г. на министър-председателя на Р. Б, с която издателят на административния акт е определен за ръководител на Управляващия орган на Оперативна програма "Добро управление" 2014-2020 г. 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оспореното решение е издадено от компетентен орган, в исканата от закона писмена форма, при спазване на административнопроизводствените правила и е в съответствие с материалноправните разпоредби. </w:t>
        <w:tab/>
        <w:br/>
        <w:tab/>
        <w:t xml:space="preserve">Съдът приема за правилен извода на административния орган, че утвърденият механизъм за оценяване не осигурява обективно оценяване на офертите и в нарушение на чл. 70, ал. 7 ЗОП и чл. 33, ал. 1 ППЗОП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правилата, които ще се прилагат при оценяването. </w:t>
        <w:tab/>
        <w:br/>
        <w:tab/>
        <w:t xml:space="preserve">По отношение на второто констатирано от органа нарушение приема за доказано, че избраният изпълнител е следвало да бъде отстранен още на етап съответствие с критериите за подбор. За законосъобразен приема извода на административния орган за нарушение на чл. 107, т. 1 ЗОП. Критериите за подбор са неправилно приложени в хода на процедурата, което е довело до избора за изпълнител на участник, който не отговаря на критериите за подбор. </w:t>
        <w:tab/>
        <w:br/>
        <w:tab/>
        <w:t xml:space="preserve">Приема, че са налице и трите елемента на понятието за нередност. </w:t>
        <w:tab/>
        <w:br/>
        <w:tab/>
        <w:t xml:space="preserve">За неоснователно приема възражението за смесване на институтите по определяне на финансова корекция и отказ за верификация. </w:t>
        <w:tab/>
        <w:br/>
        <w:tab/>
        <w:t xml:space="preserve">Въз основа на горното съдът прави извод за законосъобразност на оспорения акт. </w:t>
        <w:tab/>
        <w:br/>
        <w:tab/>
        <w:t xml:space="preserve">Решението е правилно. </w:t>
        <w:tab/>
        <w:br/>
        <w:tab/>
        <w:t xml:space="preserve">Неоснователни са доводите за допуснати съществени нарушения на съдопроизводствените правила. Доводите на касатора в тази насока имат отношение към задължението на съда по чл. 172а, ал. 2 АПК. Видно от мотивите на обжалваното съдебно решение съдът е обсъдил относимите доказателства, както и е изложил мотиви за направените от него изводи. Фактът, че не е възприел доводите на жалбоподателя, а тези на административния орган, не означава неизпълнение на процесуалните му задължения. Съдът е направил анализ на доказателствата, относими към приетите от органа нарушения на ЗОП (ЗАКОН ЗА ОБЩЕСТВЕНИТЕ ПОРЪЧКИ).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</w:t>
        <w:tab/>
        <w:br/>
        <w:tab/>
        <w:t xml:space="preserve">Неоснователни са доводите на касатора за „предубеденост“ на административния орган, тъй като е постановил отказ от верификация преди да обсъди възраженията му по констатираната нередност. Производството по верификация на средствата и производството по определяне на финансова корекция са два различни способа за гарантиране на законосъобразното разходване на средствата от Европейските структурни и инвестиционни фондове. Разпоредбата на чл. 64, ал. 1 ЗУСЕСИФ позволява сума, за която възникне съмнение и е започнала процедура по администриране на нередност, да не бъде верифицирана. Това, че за същата сума може да не се определи финансова корекция не променя този извод. Отказът за верификация е на основание проверка за нередност и не е обвързан от резултата от същата. Дори и при започнала процедура по определяне на финансова корекция и последващо неопределяне на същата, законосъобразността на предхождащия административното производство по корекцията отказ за верификация, не е обвързана с изхода на производството по определяне на финансова корекция. Следователно в случая не се касае за „предубеденост“ на органа, а реализиране на предвидената в чл. 64, ал. 1 ЗУСЕСИФ възможност за отказ от верификация тогава, когато е започнала процедура по администриране на нередност. </w:t>
        <w:tab/>
        <w:br/>
        <w:tab/>
        <w:t xml:space="preserve">Неоснователни са доводите за неправилност на изводите на съда за наличие на констатираните от органа нарушения: </w:t>
        <w:tab/>
        <w:br/>
        <w:tab/>
        <w:t xml:space="preserve">1. По нарушението на чл. 2, ал. 1, т. 1, 2 и 4 и ал. 2 във връзка с чл. 70, ал. 5, изр. последно и ал. 7, т. 1, 2 и 3, б. б) ЗОП и чл. 33, ал. 1 ППЗОП: </w:t>
        <w:tab/>
        <w:br/>
        <w:tab/>
        <w:t xml:space="preserve">Безспорно е, че чл. 70, ал. 5 ЗОП изисква показателите, включени в критериите за възлагане, да бъдат свързани с предмета на поръчката, да не дават неограничена свобода на избор, да гарантират реалната конкуренция, а чл. 70, ал. 7, т. 2 и 3, б. "б" ЗОП изисква начинът за оценяване на всеки показател да дава възможност за обективно сравнение и оценяване, както и да предоставя на участниците достатъчно информация за правилата, в т. ч. да сочи начина на оценяване на качествените показатели, които са количествено неопределими. </w:t>
        <w:tab/>
        <w:br/>
        <w:tab/>
        <w:t xml:space="preserve">Касаторът е избрал критерий за възлагане на процесната обществена поръчка оптималното съотношение качество/цена въз основа на два показателя, между които и показателят „Предложение за изпълнение” (ПИ) с максимален брой точки 50 и относителна тежест в комплексната оценка – 60 % (0, 60). Оценката на този показател е въз основа на пет надграждащи обстоятелства: </w:t>
        <w:tab/>
        <w:br/>
        <w:tab/>
        <w:t xml:space="preserve">Съгласно методиката за оценка по този показател предложената от участника организация за изпълнение на дейностите осигурява изпълнението на минималните изисквания на възложителя, посочени в техническата спецификация, а именно участникът да е предложил и описал начин и организация за изпълнение на конкретните дейности. </w:t>
        <w:tab/>
        <w:br/>
        <w:tab/>
        <w:t xml:space="preserve">Скалата за оценка е петстепенна, съответно 10, 20, 30, 40 и 50 точки, като предложението за изпълнение надгражда минималните изисквания на възложителя, посочени в техническата спецификация и от броя на посочените в него обстоятелства се присъждат съответния брой точки. Предвидените обстоятелства са: 1.) за всяка една от дейностите съгласно техническата спецификация е показано разпределението на функциите и отговорностите между експертите на ниво отделна задача; 2.) за всяка задача са дефинирани необходимите ресурси; 3.) предложени са мерки за вътрешно фирмен контрол и мониторинг на изпълнението; 4.) представен е анализ на възможните рискове и предпоставки за тяхното възникване и мерки за недопускане/предотвратяване и преодоляването им; 5.) предложена е система за комуникация с възложителя. Дадени са дефиниции на понятията „задачи“, „вътрешно фирмен контрол“ и „система на комуникация“ и са дефинирани два типа риска: закъснение в графика за изпълнение на договора и ресурси. </w:t>
        <w:tab/>
        <w:br/>
        <w:tab/>
        <w:t xml:space="preserve">Първоинстанционният съд приема за правилен извода на органа, че утвърденият механизъм за оценяване не осигурява обективно оценяване на офертите и дава неограничена свобода на оценителната комисия при присъждане на точките, както и не предоставя на потенциалните участници достатъчно информация за правилата, които ще се прилагат при оценяването. </w:t>
        <w:tab/>
        <w:br/>
        <w:tab/>
        <w:t xml:space="preserve">Приема, че за предвидените надграждащи обстоятелства по точки 1 и 2 не е ясно по какъв начин ще надградят неопределеното по обем и съдържание минимално изискване "участникът е предложил и описал начин и организация за изпълнение на конкретните дейности" и допускат забранено оценяване на пълнотата и начина на представяне на информацията по отношение на начина и организацията на изпълнение на конкретните дейности. С оглед на възраженията на жалбоподателя не се установява какво е трябвало да бъде базисното съдържание на организация на дейностите, което комисията е следвало да приеме за изпълнение на минималните изисквания на възложителя, съгласно техническата спецификация. Приема, че тези надграждащи критерии не оценяват предмета на поръчката, а пряко сравняват предложенията на всички участници на основа пълнота на описанието. </w:t>
        <w:tab/>
        <w:br/>
        <w:tab/>
        <w:t xml:space="preserve">Изводът на съда е правилен. </w:t>
        <w:tab/>
        <w:br/>
        <w:tab/>
        <w:t xml:space="preserve">Видно от оспорения акт, в резултат на обсъждане на възраженията на бенефициера (по смисъла на член 2, т. 10 от Регламент №1303/2013) органът е обосновал нарушението единствено с факта, че неясната формулировка на минималните изисквания предпоставя оценяване на пълнотата и начина на представяне на информацията по първото и второто надграждащи обстоятелства. </w:t>
        <w:tab/>
        <w:br/>
        <w:tab/>
        <w:t xml:space="preserve">Видно от образец 1.2. и 1.3. от документацията (неправилно посочен от органа като образец 1.1., който е относим към обособена позиция 1, но чието съдържание е идентично с това на образец 1.2. и 1.3.), с който се представя техническото предложение на участниците, приложение към него е „Предложение и описание на начина и организацията за изпълнение на конкретните дейности.“ Видно от техническата спецификация за двете обособени позиции бенефициерът е дефинирал целта на обученията – придобиване на определени знания на посочени експерти, доказано със съответния сертификат; определил е темите и вида на обучението – теоретическо и практическо, и продължителността на всяко; мястото на обучението, обучаваните лица - 5, изискванията към логистиката (12 конкретни дейности, в т. ч. уточняване на дати за провеждане на обучението, разработване на програма на обучението, съгласуване на учебните материали, изготвяне на присъствен списък, изготвяне на анкетни карти, отпечатване и окомплектоване на материалите, предоставяне на материалите на обучаемите, изготвяне на сертификати, кафе паузи и кетеринг с посочено съдържание, работен обяд и официална вечеря, провеждане на обучението, издаване на сертификати, доклад) и към лектора, съответно преводача. В методиката е посочено, че до оценка се допускат само участници, представили всички изискуеми документи и изготвили техническо предложение за всички дейности, което покрива минималните изисквания на възложителя. </w:t>
        <w:tab/>
        <w:br/>
        <w:tab/>
        <w:t xml:space="preserve">При това съдържание на техническата спецификация, за да бъде допуснато до оценяване, предложението на участника трябва да съдържа виждането му за начина и организацията за изпълнение на всяка една от дейностите, т. е. за всяка една от 12-те определени от бенефициера дейности. От подробното описание на 12-те дейности и от тяхното съдържание е видно, че за да се опише начинът и организацията на тяхното изпълнение участникът фактически трябва да е наясно с конкретно необходимото за всяка една от гледна точка на ресурси – човешки и материални. Очевидно е, че за да опише начина и организацията на задачата „уточняване на конкретни дати“ за обучението, съгласуването на учебните материали, изготвяне на присъствен списък, на анкетни карти, предоставяне на материалите на обучаемите, изготвяне и издаване на сертификат и изготвяне на доклад участникът следва да опише последователността на това, което счита за необходимо да бъде извършено в съответния срок, за да се изпълнят дейностите. Но тези дейности не са многозадачни, многоетапни и сложни по своя характер, за да позволяват конкретизация на отделни конкретно дефинирани „задачи“ по смисъла на дадената дефиниция – „обособена част от дефинирана поддейност“. Някои от тях не изискват техническо оборудване (материали, машини, хардуер) или информация (програми, софтуер, база данни) или документи (носители на съдържание) каквото изискване бенефициерът е поставил като второ надграждащо обстоятелство към всяка една задача. </w:t>
        <w:tab/>
        <w:br/>
        <w:tab/>
        <w:t xml:space="preserve">Именно поради това първоинстанционният съд и органът правилно приемат, че поради начина на дефиниране на минималните изисквания и техния характер първото и второто надграждащи обстоятелства фактически няма как да осигуряват надграждане над минималните изисквания, поради което фактически ще бъдат оценявани начина и пълнотата на изложението, което е в нарушение на забраната на чл. 33, ал. 1 ППЗОП. </w:t>
        <w:tab/>
        <w:br/>
        <w:tab/>
        <w:t xml:space="preserve">Органът приема, че е налице и нарушение на чл. 70, ал. 5, изр. последно и 7, т. 1, 2 и 3, б. б) ЗОП поради неяснота на съдържанието на минималните изисквания. Този мотив на органа е неправилен. Преди всичко минималните изисквания не са показател за оценка и по отношение на тях не са приложими изискванията на сочените разпоредби. Но дори и да се допусне преценяване на минималните изисквания от гледна точка на изискванията на показателите за оценка и на методиката за оценка, следва да се посочи, че видно от техническата спецификация, те са ясни и конкретни. Сами по себе си те не дават неограничена свобода на избор, тъй като са подробни и точни, при отчитане на предмета на поръчката – провеждане на обучение на пет лица. Още по-малко е налице и противоречие на минималните изисквания с изискванията към начина за определяне на оценката по всеки показател. Проблемът в случая не е в минималните изисквания, а в предмета на поръчката и конкретно дефинираните минимални изисквания, които с оглед на съдържанието на отделните дейности не предполага обективно възможност за конкретизиращи елементи, определени в първото и второто надграждащи обстоятелства, които пряко да влияят на качеството на изпълнение. </w:t>
        <w:tab/>
        <w:br/>
        <w:tab/>
        <w:t xml:space="preserve">С оглед на горното приетото от органа и от първоинстанционния съд нарушение и на чл. чл. 70, ал. 5, изр. последно и 7, т. 1, 2 и 3, б. б) ЗОП е несъответно на доказателствата по делото, поради което е неправилно. </w:t>
        <w:tab/>
        <w:br/>
        <w:tab/>
        <w:t xml:space="preserve">2. По нарушението на чл. 2, ал. 1, т. 1 и 2 и ал. 2 във връзка с чл. 107, т. 1 ЗОП. </w:t>
        <w:tab/>
        <w:br/>
        <w:tab/>
        <w:t xml:space="preserve">В подраздел III. 1.3) „Технически и професионални възможности" от обявлението възложителят е заложил изискване по всяка една от обособените позиции, за които участникът е избрал да кандидатства, да е изпълнил през изтеклите три години от датата на подаване на офертата минимум една дейност, с предмет и обем сходен или идентичен с този на поръчката. Под дейности, с предмет сходен или идентичен с този на поръчката, следва да се разбират дейности по осигуряване на логистика, организация и провеждане на обучения. Под дейности, с обем сходен или идентичен с този на поръчката следва да се разбира организирано и проведено минимум едно обучение, включващо организиране на изхранване на обучаемите, с минимум 10 обучени и сертифицирани лица за последните три години. 3а обучение, включващо организиране на изхранване на обучаемите, се приема всяко обучение, на което са организирани минимум по две кафе-паузи и един работен обяд и/или вечеря на ден, без оглед на дните, през които е продължило обучението. </w:t>
        <w:tab/>
        <w:br/>
        <w:tab/>
        <w:t xml:space="preserve">Органът е приел, че в представения на 30.07.2019 г. (коригиран след указания на комисията) ЕЕДОП на Консорциум „Метроном“ ДЗЗД са посочени две изпълнени дейности (обучения) със сходен предмет и обем. Първата от тях обхваща период от 05.01.2016 г. до 07.06.2016 г., което е извън изискуемия - 01.07.2016 г. - 01.07.2019 г. (с оглед датата на подаване на офертата на участника), поради което не е трябвало да бъде взета предвид от оценителната комисия. </w:t>
        <w:tab/>
        <w:br/>
        <w:tab/>
        <w:t xml:space="preserve">По отношение на второто обучение в ЕЕДОП е отбелязано осигуряването на 4 работни обяда и 4 кафе паузи за две двудневни обучения. Предвидена е само по една кафе-пауза на ден и на участниците не са издадени сертификати за завършено обучение. Органът е приел, че тази дейност е следвало да не бъде приета от назначената от възложителя комисия и участникът е трябвало да бъде отстранен на основание чл. 107, т. 1 ЗОП. Избраният изпълнител не е доказал и другия изискуем елемент от същия критерий за подбор - на участниците във въпросните обучения със сходен на процесната поръчка предмет да са издадени сертификати за завършено обучение. </w:t>
        <w:tab/>
        <w:br/>
        <w:tab/>
        <w:t xml:space="preserve">Правилно съдът, с оглед съвкупността от събраните доказателства в хода на процеса, е потвърдил констатираното от органа нарушение, че е допуснат до участие и впоследствие избран за изпълнител участник, който е трябвало да бъде отстранен. </w:t>
        <w:tab/>
        <w:br/>
        <w:tab/>
        <w:t xml:space="preserve">Спорен е въпросът с тълкуването на изискването за опит. </w:t>
        <w:tab/>
        <w:br/>
        <w:tab/>
        <w:t xml:space="preserve">На първо място спорно е тълкуването на дефиницията на „обучение, включващо организиране на изхранване на обучаемите“. </w:t>
        <w:tab/>
        <w:br/>
        <w:tab/>
        <w:t xml:space="preserve">Според възложителя под „обучение, на което са организирани минимум по две кафе-паузи и един работен обяд и/или вечеря на ден“ следва да се разбира, че изискването е общо за две кафе-паузи за цялото обучение и един работен обяд и/или вечеря на ден. </w:t>
        <w:tab/>
        <w:br/>
        <w:tab/>
        <w:t xml:space="preserve">Посоченото тълкуване е нелогично, с оглед на факта, че това би означавало, че при обученията, които продължават повече от два дни не следва да се включват кафе-паузи за всички дни. Изискването е достатъчно ясно и недвусмислено. Проведените от участник в Консорциум „Метроном“ ДЗЗД обучения не доказват изискването за опит. </w:t>
        <w:tab/>
        <w:br/>
        <w:tab/>
        <w:t xml:space="preserve">На следващо място касаторът оспорва тълкуването на периода, през който следва да се докаже наличието на изискуемия опит. Твърди, че представените от участника обучения, извършени с договор от 05.01.2016 г. попадат в относимия период за доказване на опит, тъй като в изискването е посочено, че всички обучения следва да са били извършвани през изтеклите три години, а така записано означава 2016, 2017 и 2018 г., защото процесната обществена поръчка е обявена през месец май 2019 г. </w:t>
        <w:tab/>
        <w:br/>
        <w:tab/>
        <w:t xml:space="preserve">Посоченото тълкуване на изискването за опит е неоснователно и противоречи на самото изискване. Възложителят е изискал за доказване на опит участникът „да е изпълнил през изтеклите три години от датата на подаване на офертата“ минимум една сходна дейност. Ясно е посочено, че периодът от три години е от датата на подаване на офертата или, както правилно приемат и органът и съдът, датата на подаване на офертата на Консорциум „Метроном“ ДЗЗД е 01.07.2019 г., а относимият в случая период е от 01.07.2016 г. - 01.07.2019 г. Декларираните от участника обучения, извършени с договор от 05.01.2016 г., не попадат в релевантния период и не е трябвало да бъдат взети предвид за доказване на изискването за опит. </w:t>
        <w:tab/>
        <w:br/>
        <w:tab/>
        <w:t xml:space="preserve">Изложеното прави правилен извода на първоинстанционния съд за законосъобразност на акта в частта, с която приема осъществено от бенефициера нарушение на чл. 107, ал. 1, т. 1 ЗОП. </w:t>
        <w:tab/>
        <w:br/>
        <w:tab/>
        <w:t xml:space="preserve">Касаторът счита за неправилен извода на първоинстанционния съд за осъществен фактическия състав на нередността, тъй като не била налице доказана вреда за бюджета на Съюза. </w:t>
        <w:tab/>
        <w:br/>
        <w:tab/>
        <w:t xml:space="preserve">Първоинстанционният съд правилно е определил фактическия състав на нередността с оглед на дефиницията на член 2, точка 36 от Регламент № 1303/2013 и правилно е приел, че с оглед на доказателствата по делото и характера на осъществените от касатора нарушения на приложимото право е доказан и елемента вреда на бюджета на Съюза. </w:t>
        <w:tab/>
        <w:br/>
        <w:tab/>
        <w:t xml:space="preserve">С оглед на съдържанието на дефиницията на "нередност" е безспорно, че вредата може да бъде не само реална, но и потенциална (има или би имало за последица). </w:t>
        <w:tab/>
        <w:br/>
        <w:tab/>
        <w:t xml:space="preserve">Характерът на извършените от бенефициера нарушения изисква, за да се прецени налице ли е и третият елемент на фактическия състав на нередността, да се приложи тестът на Съда на Европейския съюз, за преценка налице ли е вреда за бюджета на Съюза. Съдът на Европейския съюз приема, че "неспазването на правилата за възлагане на обществени поръчки съставлява нередност по смисъла на член 2, точка 7 от Регламент № 1083/2006, доколкото не може да се изключи възможността то да има отражение върху бюджета на съответния фонд" – решение от 14 юли 2016, Wroclaw, С-406/14, EU: C: 2016: 562, точка 45. Тестът на Съда досежно член 2, точка 7 от Регламент № 1083/2006 е изцяло приложим към член 2, точка 36 на Регламент № 1303/2013 с оглед на разпоредбата на член 153, параграф 2 от Регламент № 1303/2013. </w:t>
        <w:tab/>
        <w:br/>
        <w:tab/>
        <w:t xml:space="preserve">Прилагайки това разбиране на Съда на Съюза към конкретната обществена поръчка е безспорно, че не може да се изключи възможността –допуснатите нарушения на ЗОП обективно да са ограничили възможността за участие в обществената поръчка на лица, поради поставянето на изисквания, които необосновано ограничават конкуренцията, както и да са довели до избор на изпълнител, който не гарантира максимално ефективно и ефикасно разходване на средствата на Съюза. Това значи, че е налице и третият елемент на фактическия състав на нередността – вредата на бюджета на Съюза. </w:t>
        <w:tab/>
        <w:br/>
        <w:tab/>
        <w:t xml:space="preserve">Процесните нередности правилно са квалифицирани от органа съответно по т. 11, б. "а" и т. 14 от Приложение № 1 към чл. 2, ал. 1 от Наредбата, редакция към датата на издаване на акта. Определеният за нередностите размер на финансовата корекция е съответен на регламентираното. </w:t>
        <w:tab/>
        <w:br/>
        <w:tab/>
        <w:t xml:space="preserve">Предвид изложеното, като е обосновал извод за законосъобразност на оспореното решение на ръководителя на УО и е отхвърлил жалбата на Българския институт по метрология, първоинстанционният съд е постановил правилно решение, което следва да бъде оставено в сила. </w:t>
        <w:tab/>
        <w:br/>
        <w:tab/>
        <w:t xml:space="preserve">С оглед на изхода от спора, направено от ответника искане и на основание чл. 143, ал. 1 АПК съдът следва да осъди касатора да заплати на Министерски съвет на Р. Б – юридическото лице, в чиято структура е органът – ответник, направените в касационната инстанция разноски. Същите, видно от доказателствата по делото са за юрисконсултско възнаграждение. Размерът на същото съдът определя на 150, 00 лв. на основание чл. 78, ал. 8 ГПК във вр. с чл. 25, ал. 1 от Наредба за заплащането на правната помощ във вр. с чл. 144 АПК. </w:t>
        <w:tab/>
        <w:br/>
        <w:tab/>
        <w:t xml:space="preserve">Водим от горното и на основание чл. 221, ал. 2 Върховният административен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№4911 от 21.09.2020 г. на Административен съд София-град по адм. дело №948/2020 г. </w:t>
        <w:tab/>
        <w:br/>
        <w:tab/>
        <w:t xml:space="preserve">ОСЪЖДА Българския институт по метрология, гр. С., бул. „Г.М.Д“ №52Б, да заплати на Министерския съвет на Р. Б, гр. С., бул. "Княз Ал. Дондуков" № 1, 150, 00 лв. (сто и петдесет лева)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