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№493/28.06.2011 по търг. д. №477/2011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М. К.</w:t>
        <w:tab/>
        <w:br/>
        <w:tab/>
        <w:t xml:space="preserve"> </w:t>
        <w:tab/>
        <w:br/>
        <w:tab/>
        <w:t xml:space="preserve"> К. Е.</w:t>
        <w:tab/>
        <w:br/>
        <w:tab/>
        <w:t xml:space="preserve"> </w:t>
        <w:tab/>
        <w:br/>
        <w:tab/>
        <w:t xml:space="preserve">след като разгледа, докладваното от съдията К. ч. т.д. №477/2011 г. по описа на съда, приема за установено следното:</w:t>
        <w:tab/>
        <w:br/>
        <w:tab/>
        <w:t xml:space="preserve"> </w:t>
        <w:tab/>
        <w:br/>
        <w:tab/>
        <w:t xml:space="preserve"> В молба от 24.06.2011г. касаторът [фирма], [населено място] е направил искане по чл. 282, ал. 2 ГПК за спиране изпълнението на въззивното решение №835 от 20.05.2011г., постановено по гр. дело №3252/2009г. на Софийския апелативен съд в осъдителната му част и като обезпечение е внесена сумата от 38 024.95 лв. с платежното нареждане от 23.06.2011г. Приложена е справки от 27.06.2011г. от гл. специалист - счетоводител, че сумата е постъпила по особената сметка на ВКС.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 като взе предвид, че по отношение на молителя е постановено въззивно осъдително решение, че е подадена касационна жалба в срок и е внесена ДТ, че е представено надлежно обезпечение по чл. 282, ал. 1, т. 2 ГПК, намира молбата за спиране изпълнението на решенията на САС за основателна, затова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по молба на [фирма], [населено място] въззивното решение №835 от 20.05.2011г., постановено по гр. дело №3252/2009г. на Софийския апелативен съд, в частта, с която е осъдено дружеството да заплати на [фирма] – С. сумата от 34090.11 лв., представляваща неизплатена част от възнаграждение по договор за проектиране от 27.07.2007 г. ведно със законната лихва считано от 20.12.2007г. до окончателното й заплащане, както и направените пред двете инстанция разноски съответно в размер на 1954.96 лв. за първата инстанция и 1978.88 лв. за пред въззивната инстанция.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