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№4406/06.04.2021 по адм. д. №10105/2020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ръководителя на Управляващия орган (УО) на Оперативна програма "Региони в растеж 2014-2020" (ОПРР), подадена чрез пълномощник, против решение № 2372 от 30.04.2020 год., постановено по адм. д. № 4379/ 2019 г. на Административен съд София-град, с което съдът е отменил негово решение №РД-02-36-387/ 25.03.2019 г. за определяне на финансова корекция на Столична община. Според касатора решението е неправилно като постановено при съществени нарушения на съдопроизводствените правила, нарушение на материалния закон и е необосновано отм. енителни основания по чл. 209, т. 3 АПК. Касационният жалбоподател твърди, че съдът неправилно е интерпретирал безспорно установените факти и обстоятелства, като е приел, че органът ги е тълкувал грешно в акта си. Счита за доказани всички нарушения, посочени и подробно обсъдени в издадения акт. Касаторът излага подробно фактите по делото и мотивите на обжалваното съдебно решение и поддържа твърдението, че установените с акта нарушения несъмнено представляват нередност по т. 9 от Приложение 1 на чл. 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(ред., ДВ, бр. 68 от 22.08.2017 г., в сила от 22.08.2017 г.). Иска отмяна на обжалваното решение и постановяване на друго, с което по същество подадената от Столична община жалба бъде отхвърлена като неоснователна. Претендира разноски за двете съдебни инстанции. </w:t>
        <w:tab/>
        <w:br/>
        <w:tab/>
        <w:t xml:space="preserve">Ръководителят на Управляващия орган на Оперативна програма "Региони в растеж 2014-2020" обжалва с частна жалба и определение №5296 от 15.07.2020 г., постановено по делото на Административния съд София-град в производство по чл. 248 ГПК, вр. с чл. 144 АПК. Твърди, че присъдените на Столична община съдебни разноски са прекомерни с оглед фактическата и правна сложност на спора, като моли размерът им да бъде намален или разноските да бъдат определени съобразно крайния изход на делото. </w:t>
        <w:tab/>
        <w:br/>
        <w:tab/>
        <w:t xml:space="preserve">О. С община, чрез пълномощник, оспорва касационната жалба като неоснователна по съображения, изложени в писмен отговор. Иска присъждане на разноските за двете инстанции. </w:t>
        <w:tab/>
        <w:br/>
        <w:tab/>
        <w:t xml:space="preserve">Представителят на Върховната административна прокуратура дава мотивирано заключение за основателност на касационната жалба, както и на подадената частна жалба. </w:t>
        <w:tab/>
        <w:br/>
        <w:tab/>
        <w:t xml:space="preserve">Върховният административен съд, след като провери правилността на обжалваното решение, приема следното: </w:t>
        <w:tab/>
        <w:br/>
        <w:tab/>
        <w:t xml:space="preserve">По делото няма спор за факти. Спорът е по приложението на закона. </w:t>
        <w:tab/>
        <w:br/>
        <w:tab/>
        <w:t xml:space="preserve">По делото е установено, че между страните е сключен административен договор за предоставяне на безвъзмездна финансова помощ по Оперативна програма "Региони в растеж 2014 - 2020", процедура на директно предоставяне "Изпълнение на интегрирани планове за градско възстановяване и развитие 2014-2020", за изпълнение на проектно предложение № BG16RFOP001-1.001-0003-С01 "Възстановяване на Западен парк - представителна част, гр. С.". За изпълнение на проекта бенефициерът Столична община е провела обществена поръчка, обхващаща дейностите по изпълнение на СМР, включващи подробно изброени в обявлението и документацията за участие дейности, като знаковите места в парка са разработени като отделни подобекти. За изпълнител е избран "Г.Иг" ЕООД, с който е сключен договор за изпълнение на 19.02.2018 г. По повод регистриран сигнал за нередност №844 е извършена проверка, за резултатите от която бенефициерът е уведомен с писмо от 4.02.2019 г. Столична община е подала писмено възражение на 18.02.2019 г. </w:t>
        <w:tab/>
        <w:br/>
        <w:tab/>
        <w:t xml:space="preserve">С оспореното пред първоинстанционния съд решение № РД-02-36-387/25.03.2019 г. ръководителят на Управляващия орган на Оперативна програма „Региони в растеж 2014-2020" е приел, че Столична община е допуснал нарушения при провеждането на процедурата, а именно: 1/ неправомерно смесване на критерии за подбор и критерии за възлагане (т. 1.1) - нарушение на чл. 70, ал. 12, вр. чл. 63, ал. 1, т. 11 от ЗОП (ЗАКОН ЗА ОБЩЕСТВЕНИТЕ ПОРЪЧКИ) (ЗОП); 2/ неправомерни/ ограничителни критерии за подбор (по т. 1.1, 1.2, 1.З, 1.4 и 1.5) - чл. 2, ал. 2, вр. с чл. 59, ал. 2 ЗОП; 3/ незаконосъобразна методика/неправомерни показатели на оценка - чл. 70, ал. 5, изр. второ, ал. 7, т. 1, 2 и 3б."б", чл. 2, ал. 2 ЗОП и чл.ЗЗ, ал. 1, изр. второ от Правилник за приложение на ЗОП (ЗАКОН ЗА ОБЩЕСТВЕНИТЕ ПОРЪЧКИ) (ППЗОП). Квалифицирал е нарушенията като нередност по т. 9 от Приложение 1 към чл. 2, ал. 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(ред., ДВ, бр. 68 от 22.08.2017 г., в сила от 22.08.2017 г.) - Наредбата. За всяко от нарушенията е определил финансова корекция от 5% върху стойността на допустимите разходи по договора с изпълнителя и на основание чл. 7 от Наредбата е определил една финансова корекция от 5% върху стойността на допустимите разходи по договора с изпълнителя "Г.Иг" ЕООД. </w:t>
        <w:tab/>
        <w:br/>
        <w:tab/>
        <w:t xml:space="preserve">Административният съд София-град е приел, че оспореният акт е издаден от компетентен орган, в предвидената от закона форма, при спазване на процедурата по чл. 73, ал. 2 ЗУСЕСИФ, но в противоречие с материалноправните разпоредби и целта на закона, поради което го е отменил.Решението е неправилно. </w:t>
        <w:tab/>
        <w:br/>
        <w:tab/>
        <w:t xml:space="preserve">Съответен на закона и доказателствата по делото е първоинстанционният извод за компетентност на органа, издал административния акт. В разпоредбата на чл. 9, ал. 1 ЗУСЕСИФ е регламентирано, че органи за управление и контрол на средствата от ЕСИФ са управляващите органи, сертифициращите органи и одитните органи, като съгласно чл. 9, ал. 5 ЗУСЕСИФ ръководител на управляващия орган е ръководителят на администрацията или организацията, в чиято структура се намира управляващият орган, или оправомощено от него лице. Следователно законът предоставя възможност на ръководителя на администрацията или организацията, в чиято структура се намира управляващият орган, да делегира правомощията си на ръководител на управляващия орган. Разпоредбата на чл. 28, ал. 1 от Устройствения правилник на МРРБ предвижда, че Главна дирекция "Стратегическо планиране и програми за регионално развитие" изпълнява функциите на управляващ орган на Оперативна програма "Региони в растеж" 2014 - 2020 г. с всички произтичащи от това задължения и отговорности съгласно регламентите на Европейския съюз и Структурните и инвестиционните фондове. От представената и приета като доказателство по делото заповед №РД-02-36-1179/26.09.2018 г. на министъра на регионалното развитие и благоустройството е видно, че ръководителят на администрацията, в чиято структура е Управляващия орган, е оправомощил изпълняващата длъжността заместник-министър Д. Н. за ръководител на Управляващия орган на Оперативна програма "Региони в растеж 2014 – 2020 г.", като й е възложил да изпълнява посочените в заповедта функции в качеството на ръководител на УО. Делегирането на правомощието по чл. 73, ал. 1 ЗУСЕСИФ е допустимо съгласно чл. 4, ал. 2 от Устройствения правилник на МРРБ и чл. 9, ал. 5, изр. второ от ЗУСЕСИФ, като в случая делегирането на компетентност на заместник-министъра да упражнява функциите и правомощията на ръководител на Управляващия орган на ОПРР е извършено с надлежна заповед. Тази заповед изрично е посочена в титулната част на акта, а от текста на изложението несъмнено се извежда в какво качество и в каква процедура се е произнесъл издателят. Ето защо решението, подписано от Д. Н. с отбелязване само като заместник-министър, не сочи на липса на компетентност на издателя. Следователно оспореното решение е постановено от компетентен административен орган - издадено и подписано от лицето, заемащо длъжността заместник-министър, оправомощено да изпълнява функциите на ръководител на Управляващия орган на Оперативна програма "Региони в растеж". Предвид изложеното наведеното от касационния ответник с писмения отговор възражение за некомпетентност на издателя на оспорения акт е неоснователно. </w:t>
        <w:tab/>
        <w:br/>
        <w:tab/>
        <w:t xml:space="preserve">Правилен е изводът на съда, че при издаване на акта органът е спазил нормативните изисквания на чл. 73, ал. 1 и ал. 2 ЗУСЕСИФ. </w:t>
        <w:tab/>
        <w:br/>
        <w:tab/>
        <w:t xml:space="preserve">Касационният състав приема, че административният акт е издаден в съответствие с материалноправните разпоредби и с целта на закона, а приетият от АССГ извод за материална незаконосъобразност на акта е неправилен. </w:t>
        <w:tab/>
        <w:br/>
        <w:tab/>
        <w:t xml:space="preserve">По нарушението, описано в т. 1.1. от административния акт: </w:t>
        <w:tab/>
        <w:br/>
        <w:tab/>
        <w:t xml:space="preserve">От документацията за участие, т. 1.4 от раздел III.2 "Технически и професионални възможности" възложителят е поставил като изискване всеки участник да прилага Система за управление на околната среда EN ISO 14001 или негов еквивалент с обхват, съответстващ на предмета на поръчката (СМР). Това изискване несъмнено се отнася към поставените от Столична община критерии за подбор, съгласно чл. 63, ал. 1, т. 11 ЗОП. EN ISO 14001 е международен стандарт, определящ изисквания за управление на околната среда, който залага на няколко ключови елемента за управление на околната среда. Целта е да бъде постигнато намаляване на отпадъците и замърсяванията, ефективно използване на ресурсите, намаляване на рисковете за природната среда и др. подобни. Едновременно с поставения критерий за подбор, в одобрената методика за оценка е предвидено оценяване ( с 20 т.) на участник, който е включил описание на възможните замърсители и предлагани мерки за опазване на околната среда. </w:t>
        <w:tab/>
        <w:br/>
        <w:tab/>
        <w:t xml:space="preserve">Според първоинстанционния съд стандартът не посочва конкретно ниво или индикатори, които следва да бъдат постигнати от възложителя, защото обхватът на системата за управление на околната среда се определя индивидуално и самостоятелно от възложителя като се идентифицират неговите нужди, очаквания, изисквания. Освен това индивидуално се формулират политика и цели по отношение опазването на околната среда. Според съда, международният стандарт гарантира на възложителя устойчивост на поведението на изпълнителя на обществената поръчка, но (дори хипотетично) не гарантира конкретно ниво/качество на извършваните дейности в обхвата на стандарта. Съдът е приел, че няма законова забрана като част от оценката на техническото предложение да се включат екологични характеристики. Показателят за оценка на техническото предложение - „Мерки за опазване на околната среда", включва описание на възможните замърсители, в контекста на специфичните дейности, които са предмет на поръчката, и на предлаганите от всеки участник мерки за опазване на елементите на околната среда - въздух, водни ресурси, почви и др. по време на изпълнение на предмета на договора. Целта на този показател е мерките да се отнесат към начина на изпълнение на отделните видове СМР с оглед опазване и недопускане на увреждане на елементите на околната среда, а не е насочен към критериите за подбор, които доказват съответствието на участника с техническите и професионални възможности за изпълнението на поръчката. Този извод противоречи на закона. </w:t>
        <w:tab/>
        <w:br/>
        <w:tab/>
        <w:t xml:space="preserve">Посоченото от органа нарушение по т. 1.1 се свежда до нарушаване на забраната на чл. 70, ал. 12 ЗОП - възложителите нямат право да включват критериите за подбор като показатели за оценка. Съдът в извода си фактически е целял да мотивира както необходимост от въвеждане на критерий за подбор по чл. 63, ал. 1, т. 11 ЗОП - прилагане на системи или стандарти за опазване на околната среда, така и необходимост от едновременното въвеждане с това на показател за оценка, свързан с представяне на мерки за осигуряване на качеството при изпълнение на поръчката, като не е съобразил императивната забрана на законодателя да не допуска включване на критериите за подбор като показатели за оценка. Анализът на съда би бил относим, ако законът допускаше преценка на възложителя с оглед възможността за обосноваване на тази преценка. Тъй като забраната е императивна, формалното й нарушаване обосновава извод за нарушение на чл. 70, ал. 12, вр. чл. 63, ал. 1, т. 11 ЗОП. </w:t>
        <w:tab/>
        <w:br/>
        <w:tab/>
        <w:t xml:space="preserve">По нарушението, описано в т. 1.2. от административния акт: </w:t>
        <w:tab/>
        <w:br/>
        <w:tab/>
        <w:t xml:space="preserve">В т. 1.2. от раздел III.1.2 "Икономическо и финансово състояние" на обявлението за обществената поръчка възложителят е въвел изискване всеки участник да е реализирал минимален оборот в сферата, попадаща в обхвата на обществената поръчка, изчислен на база годишните обороти за последните три приключили финансови години в зависимост от датата, на която участникът е създаден или е започнал дейността си, в размер минимум 12 000 000, 00 лева без ДДС. Заложената прогнозна стойност на поръчката без ДДС е 8 527 833, 33 лв. Ръководителят на УО е приел, че определения специфичен оборот надвишава значително прогнозната стойност на поръчката и с това възложителят незаконосъобразно е приложил чл. 62, ал. 2 ЗОП. Предвид обема и обхвата на поръчката, нейния предмет и сложност, както и предвид определения срок за изпълнение - една година, УО е приел, че значително завишеният размер на специфичния оборот е довел до необосновано ограничаване участието на потенциално заинтересовани лица или е дал необосновано предимство на заинтересовани икономически оператори. </w:t>
        <w:tab/>
        <w:br/>
        <w:tab/>
        <w:t xml:space="preserve">Според първоинстанционния съд въведеното изискване не нарушава чл. 61, ал. 1, т. 1 и ал. 2 ЗОП. Лаконично е посочил в мотивите си, че възложителят всъщност е поставил изискване към участниците специфичният им оборот досега да е бил поне 1/2 от стойността на обществената поръчка, за същия срок, за който ще се изпълнява. Обосновал се е с пример: "ако конкретен участник досега годишно е изпълнявал дейности в обхвата на поръчката на стойност 4 млн. лв, то сега възложителят му гласува доверие и възлага на същия този изпълнител дейности на 2 пъти по-висока стойност. Това показва единствено, че възложителят е подходил разумно при определяне на критериите към участниците и очевидно изискването за специфичен оборот е съобразено със стойността, обема и срока, за който ще се изпълнява обществената поръчка. Възложителят не е поставил условие за общ оборот." Този извод не почива на закона и правната логика. </w:t>
        <w:tab/>
        <w:br/>
        <w:tab/>
        <w:t xml:space="preserve">Предвид чл. 61, ал. 1, т. 1 ЗОП (в прил. ред. ДВ, бр. 13 от 2016 г.) по отношение на икономическото и финансовото състояние на кандидатите възложителите могат да поставят изискване към участниците да са реализирали минимален общ оборот, включително минимален оборот в сферата, попадаща в обхвата на поръчката, изчислен на база годишните обороти. Законодателят е разяснил смисъла, вложен в понятията "годишен общ оборот" и "оборот в сферата, попадаща в обхвата на поръчката", в разпоредбите на § 2, т. 66 и т. 67 ДР ЗОП (в прил. ред.). "Годишен общ оборот" е сумата от нетните приходи от продажби, а "оборот в сферата, попадаща в обхвата на поръчката" е сумата, равна на частта от нетните приходи от продажби, реализирана от дейност, попадащи в обхвата на обществената поръчка. В обявлението за обществената поръчка общината е поставила критерий за подбор по отношение на минималния оборот на участниците в сферата, попадаща в обхвата на поръчката, т. е. поставила е изискване за размер на специфичен оборот по смисъла на § 2, т. 67 ДР ЗОП (в прил. ред.). Законодателят е поставил изискване за размера на минималния общ оборот, част от който е оборотът, попадащ в обхвата на поръчката. Размерът на специфичния оборот е предоставен на оперативната самостоятелност на възложителя, но следва да е съобразен с общото изискване на чл. 59, ал. 2 ЗОП. </w:t>
        <w:tab/>
        <w:br/>
        <w:tab/>
        <w:t xml:space="preserve">Правилни са изводите на административния орган, че размерът на изискания специфичен оборот следва да бъде обоснован от предмета на обществената поръчка, като в случая няма твърдения за неговата изключителна техническа сложност по видовете строително-ремонтни работи, както и за всяка една от дейностите, посочени в обявлението. В обявлението и документацията за участие възложителят е поставил условия, обосноваващи наличието на необходимия капацитет, възможности и опит за изпълнение на дейностите. Поради това законосъобразно административният орган е приел, че заложеното изискване за минимален специфичен оборот е немотивирано завишено и същото необосновано ограничава участието на потенциални лица в процедурата, в нарушение на чл. 2, ал. 2, във вр. с чл. 61, ал. 1, т. 1 и чл. 59, ал. 2 ЗОП. Като е приел, че възложителят не е допуснал нарушението, описано в т. 1.2 от оспорения акт, първоинстанционният съд е постановил решението си в нарушение на материалния закон. </w:t>
        <w:tab/>
        <w:br/>
        <w:tab/>
        <w:t xml:space="preserve">По нарушението, описано в т. 1.3. от административния акт: </w:t>
        <w:tab/>
        <w:br/>
        <w:tab/>
        <w:t xml:space="preserve">В т. 2 от раздел III.1.3 "Технически и професионални възможности" от обявлението възложителят е поставил изискване участниците да разполагат с ръководител на обекта - строителен инженер със степен магистър, специалност "Транспортно строителство", профил "Пътно строителство" или специалност "Строителство на сгради и съоръжения" или еквивалент. УО е приел, че така поставеното изискване необосновано ограничава участието в процедурата на лица, които са инженери, архитекти, специалисти със средно образование и завършен четиригодишен курс на обучение. Посочил е, че законодателят не е въвел изискване за висше образование, степен "магистър", нито е конкретизирал специалност по отношение на експерта ръководител на обект, визиран в нормата на чл. 163а, ал. 4 ЗУТ. Ето защо е приел за необосновано поставеното от възложителя допълнително изискване за по-висока образователна степен и точно определена специалност, с което е стеснен кръга на компетентните лица в строителството, които биха могли да отговарят на изискванията за този ключов експерт. </w:t>
        <w:tab/>
        <w:br/>
        <w:tab/>
        <w:t xml:space="preserve">Според административния съд така въведеното изискване към ключовия експерт е законосъобразно и обосновано, предвид комплексния характер на обществената поръчка, значителната й стойност, специфичния и общественозначим предмет. Отново се е позовал в изводите си на предоставената на възложителя оперативна самостоятелност да определи ограничителните изисквания към експерта. Мотивите на съда досежно обема и сложността на поръчката като предпоставка за въведените от възложителя изисквания към този експерт биха били относими към евентуално поставени изисквания за по-дълъг опит, но не и за по-висок образователен ценз. </w:t>
        <w:tab/>
        <w:br/>
        <w:tab/>
        <w:t xml:space="preserve">Действително, при определяне на критериите за подбор възложителят действа при условията на оперативна самостоятелност, но границите на тази оперативна самостоятелност са определени в ЗОП (ЗАКОН ЗА ОБЩЕСТВЕНИТЕ ПОРЪЧКИ). Възложителите следва да определят критериите за подбор така, че да не дават предимство или необосновано да ограничават участието в обществената поръчка и да бъдат съобразени с предмета и обема на поръчката. Правилен изводът на административния орган, че възложителят необосновано е ограничил потенциалните участници, тъй като съгласно чл. 163а, ал. 4 ЗУТ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 Необоснован е изводът на съда, че заложеният критерий е поставен с оглед необходимостта от конкретна професионална квалификация предвид стойността и сложността на поръчката, защото стойността на поръчката сама по себе си не е показател за нейната сложност. Поставяйки този критерий, възложителят е прехвърлил границите на оперативната си самостоятелност, като е приложил закона стеснително и по този начин заложеното изискване е довело до необосновано ограничаване на участието на потенциалните лица в процедурата, с което е допуснато нарушение на чл. 2, ал. 2, чл. 59, ал. 2 и чл. 2, ал. 1, т. 1 и 2 ЗОП. Предвид изложеното приетият от административиня съд извод за отсъствие на посоченото нарушение е неправилен. </w:t>
        <w:tab/>
        <w:br/>
        <w:tab/>
        <w:t xml:space="preserve">По нарушението, описано в т. 1.4. от административния акт: </w:t>
        <w:tab/>
        <w:br/>
        <w:tab/>
        <w:t xml:space="preserve">Първоинстанционният съд е приел краен извод за отсъствие на описаното нарушение, но не го е обосновал в решението. </w:t>
        <w:tab/>
        <w:br/>
        <w:tab/>
        <w:t xml:space="preserve">Видно от раздел III. 1. 3. "Технически и професионални възможности", т. 2 от обявлението за обществената поръчка, за отговорник по качество е въведено изискване участниците да разполагат със строителен инженер, притежаващ познания и техническа компетентност в областта на контрола по качеството на изпълнение на строителството, като в ЕЕДОП участниците следва да посочат и данни на документа за придобитото образование. Административният орган е приел, че чл. 15, ал. 1, т. 5 от ЗКС (ЗАКОН ЗА КАМАРАТА НА СТРОИТЕЛИТЕ) не въвежда изискване към експерта по контрол на качеството за конкретно образование и специалност, поради което изискването на възложителя към експерта да бъде с висше образование по конкретна специалност необосновано ограничава участието в процедурата на лица, които имат по-ниско образование в сферата на строителството, но имат документ за завършен курс. </w:t>
        <w:tab/>
        <w:br/>
        <w:tab/>
        <w:t xml:space="preserve">Съгласно чл. 15, ал. 1, т. 4, б. "б" от ЗКС (ЗАКОН ЗА КАМАРАТА НА СТРОИТЕЛИТЕ) в Централния професионален регистър на строителя се вписват строители, които отговарят на посочените изисквания, между които и да разполагат с необходимия персонал за контрол върху качеството на изпълнение на строителството. Съгласно т. 5 и 6 на същата разпоредба наетият технически персонал трябва да притежава необходимата правоспособност, а наетите работници да притежават необходимата професионална квалификация за изпълнение на извършваните строителни дейности. По силата на чл. 19, ал. 3, т. 1 от Правилник за реда за вписване и водене на Централния професионален регистър на строителя, към заявлението за вписване строителят представя дипломи, удостоверяващи техническата правоспособност и квалификация на технически правоспособния персонал. За лицата, които имат право да осъществяват контрол на строителството/отговорник по качеството, не съществува нормативно ограничение за образование и професионална квалификация. Ето защо правилен е изводът на ръководителя на УО, че въведеното изискване за квалификация в областта на строителството противоречи на съдържанието, което влага за такъв експерт разпоредбата на чл. 15, ал. 1, т. 5 ЗКС. За тези експерти няма изискване за конкретна образователна или професионална квалификация за изпълнение на съответната длъжност. По отношение на отговорника по качеството не е налице изрично нормативно изискване за образование, поради което предвиденото в документацията изискване се явява ограничаващо и води до намаляване на конкуренцията и представлява потенциална пречка за избор на икономически най-изгодна оферта. Търсенето на качествено изпълнение не може да оправдае провеждане на обществената поръчка в нарушение на чл. 2, ал. 2, чл. 59, ал. 2 и чл. 2, ал. 1, т. 1 и 2 от ЗОП. Предвид изложеното изводът на административния орган за допуснато от възложителя нарушение е съответен на закона. </w:t>
        <w:tab/>
        <w:br/>
        <w:tab/>
        <w:t xml:space="preserve">По нарушението, описано в т. 1.5. от административния акт: </w:t>
        <w:tab/>
        <w:br/>
        <w:tab/>
        <w:t xml:space="preserve">В раздел III. 1. 3. "Технически и професионални възможности", т. 2 от обявлението за обществената поръчка, възложителят е въвел изискване към експерта "координатор по безопасен труд" да бъде инженер, отговарящ на изискванията по чл. 5, ал. 2 от Наредба №2 за минималните изисквания за здравословни и безопасни условия на труд при извършване на строителни и монтажни работи. Административният орган е посочил, че изискването към експерта по безопасност е ограничително, тъй като чл. 15, ал. 1, т. 4, б"в" ЗКС изисква тези длъжностни лица да притежават валидно удостоверение съгласно Наредба № РД-07-2/ 16.12.2009 г., а чл. 24, ал. 1 ЗЗБУТ изисква работодателят да назначи лица с подходящо образование и квалификация, но никъде законодателят не изисква конкретно експертът по безопасен труд да бъде с професионална квалификация инженер. Приел е, че така поставеното условие е ограничително и е в нарушение на чл. 2, ал. 1 и 2 ЗОП. </w:t>
        <w:tab/>
        <w:br/>
        <w:tab/>
        <w:t xml:space="preserve">Съдът е приел, че в законодателството не са предвидени специални изисквания относно образованието и квалификацията на лицата, на които е възложено да осъществяват контрол за безопасни условия на труд, а в рамките на оперативната самостоятелност на всеки възложител е да въведе критерии за участие към икономически оператори в процедурата, които според него биха довели до най-качествен подбор на самите участници. Съдът отново е изложил бланкетни мотиви, обосновавайки извода си за отсъствие на нарушение с изключителната оперативна самостоятелност на органа. </w:t>
        <w:tab/>
        <w:br/>
        <w:tab/>
        <w:t xml:space="preserve">Видно от договора за обществена поръчка изпълнителят е длъжен да спазва изискванията за безопасност на труда на етапа на извършване на строително-ремонтните дейности. Обхватът на дейността е определен в чл. 11 от Наредба № 2. Тази дейност в случая е част от дейността по чл. 166, ал. 1, т. 3 ЗУТ - друга консултантска дейност. За експерта „координатор по безопасен труд" няма въведени точни нормативни образователни изисквания и изисквания за конкретна професионална квалификация. Това, което законово е установено, е задължението на възложителя да определи лице с подходящо образование и квалификация за организиране на необходимите дейности - чл. 24, ал. 1 във вр. с §1, т. 2 ЗЗБУТ. Член 5, ал. 2 от Наредба № 2 поставя като изискване лицето да е правоспособно, с квалификация, професионален опит и техническа компетентност в областта на проектирането, строителството и безопасното и здравословно изпълнение на строително-монтажните работи, доказани съответно с диплома, лицензи, удостоверения и др. Относими за процесната поръчка са изискванията относно строителството и безопасното изпълнение на строително-ремонтните работи. </w:t>
        <w:tab/>
        <w:br/>
        <w:tab/>
        <w:t xml:space="preserve">В случая възложителят необосновано е ограничил потенциалните участници, въвеждайки по отношение на конкретния експерт изискване само за професионална квалификация инженер, макар и тази дейност да може да се извършва и от други лица с подходящо образование и квалификационна степен, напр. "строителен техник". По силата на чл. 24 ЗЗБУТ изпълнителят на поръчката следва да разполага с лице, което е натоварено с организиране изпълнението на дейностите по безопасност и здраве. Функциите и длъжностите на тези лица се определят с наредба на министъра на труда и социалната политика.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Специфичните изисквания и правила за тези лица по отношение дейности в строителството се съдържат в Наредба № 2 от 22.03.2004 г. Следователно нормативно изискване по отношение на лицето, което ще осъществява функции на координатор по безопасност да бъде само такова с професионална квалификация "инженер" не е изрично установено в приложимата правна уредба. Степента на квалификация или образователен ценз за изпълнение на определена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 </w:t>
        <w:tab/>
        <w:br/>
        <w:tab/>
        <w:t xml:space="preserve">Касационната инстанция не споделя първоинстанционния извод, че определянето на квалификацията на експертите попада в оперативната самостоятелност на възложителя и тя следва да е завишена като изискване, за да се постигне реално и качествено изпълнение на поръчката. Оперативната самостоятелност на възложителя да определя критерии за подбор към участниците е ограничена от нормата на чл. 2, ал. 2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Ограничението е довело до нарушаване принципите на свободна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ръководител на обект, отговорник по качество и координатор по безопасен труд не изпълняват поставените от възложителя изисквания. </w:t>
        <w:tab/>
        <w:br/>
        <w:tab/>
        <w:t xml:space="preserve">По нарушението, описано в т. 2. от административния акт: </w:t>
        <w:tab/>
        <w:br/>
        <w:tab/>
        <w:t xml:space="preserve">В раздел IV "Критерии за възлагане", в частта Методика за комплексна оценка на офертите, техническият показател е разделен на три подпоказателя, оценими в тристепенна скала. В подпоказател А "Предложение за технология и организация на изпълнението на строителството, методи за работа", за всяка от шестте части на техническото предложение е предвидена тристепенна скала на оценяване, съобразена със следните изисквания: - представено е описание на технологията на строителството, като е спазена технологична последователност на всичкии стоителни работи и разбиването им по дейности, вкл. обхват на работите и те са в съответствие с графика на изпълнение. Всички методи са приложими. От описанието е видно, че ще бъдат спазени всички изисквания на възложителя и нормативните актове, както и че се гарантира качественото изпълнение на отделните видове работи, вкл. и по отношение на влаганите материали; - представено е описание на технологията на строителството. Описана е последователността на изпълнение на технологичните процеси, но са установени до 2 дейности, за които са налице несъществени пропуски и/или частично несъответствие с изискванията на възложителя и/или не се гарантират възможности за лесна поддръжка на обекта съобразно нормативните изисквания; - представено е описание на технологията на строителството. Описана е последователността на изпълнение на отделните процеси, но са установени повече от 2 дейности, за които са налице несъществени пропуски и/или частично несъответствие с изискванията на възложителя и/или не се гарантират възможности за лесна поддръжка на обекта съобразно нормативните изисквания. </w:t>
        <w:tab/>
        <w:br/>
        <w:tab/>
        <w:t xml:space="preserve">Административният орган е приел, че с оглед начина на формиране на оценка по технически показатели се допуска субективно оценяване и в резултат - неравно третиране на участниците. С повече точки се оценяват предложенията, които съдържат повече описания, което представлява нарушение на чл. 33, ал. 1. изр. 2 от ППЗОП, и че утвърдената методика не залага критерии за оценяване на самото предложение за изпълнение на предвидените дейности, а цели оценка на пълнотата и начина на представяне на информацията в документите. Дадените от възложителя дефиниции на две от понятията "формално описание" и "несъществени пропуски и/или частично съответствие" са общи, неясни и неточни. Тази оценка не позволява да се определи обективно офертата, предлагаща оптимално съотношение цена/качество и недопустимо съдържа оценка на пълнотата на изложението. </w:t>
        <w:tab/>
        <w:br/>
        <w:tab/>
        <w:t xml:space="preserve">Първоинстанционният съд е приел, че твърденията на органа не са доказани. Според съда в закона не се съдържа ограничение възложителят да определя субективни показатели за оценка при условие, че са налице конкретни и ясни условия, на които следва да отговарят предложенията. При заложените параметри в методиката, отнасящи се до степента на съответствие на предложението на участника, субективността в оценяването е ограничена, като гаранция за това е и задължението на възложителя по чл. 103 ЗОП да назначи за членове на оценителната комисия лица с необходимата за целта на обществената поръчка компетентност. Направил е извод, че възложителят не е допуснал нарушение по чл. 70, ал. 5 и ал. 7, т.З. б. „б“ ЗОП, и чл. 33, ал. 1, изр. второ ППЗОП. </w:t>
        <w:tab/>
        <w:br/>
        <w:tab/>
        <w:t xml:space="preserve">Този извод не съответства на доказателствата и закона. 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количествено определимите показатели се определят стойностите в цифри или в проценти и се посочва начинът за тяхното изчисляване;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Показателите, включени в критериите по ал. 2, т. 2 и 3, трябва да са свързани с предмета на поръчката. </w:t>
        <w:tab/>
        <w:br/>
        <w:tab/>
        <w:t xml:space="preserve">Несъмнено определянето на показателите за оценка на офертите е част от оперативната самостоятелност на възложителите, които сами дават тежест на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изискванията, установени в ЗОП и ППЗОП, включително изричната забрана по чл. 33, ал. 1, изр. второ ППЗОП (ДВ, бр. 28 от 2016 г., в сила от 15.04.2016 г.) пълнотата и начинът на представяне на информацията от страна на участниците в процедурата да се използва като показател за оценка на офертите.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яснота или детайлност, а именно когато се залага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детайлното или формалното или недостатъчно описание на дейностите/задачите. От друга страна поставените от възложителя критерии са неясни и оставят необоснована свобода на тълкуването им, което от своя страна предпоставя възможност за неравно третиране на участниците. </w:t>
        <w:tab/>
        <w:br/>
        <w:tab/>
        <w:t xml:space="preserve">Правилен е изводът на УО, че възложителят незаконосъобразно е допуснал да бъдат оценявани пълнотата и начинът на представяне на информацията. Този подход е в нарушение на чл. 33, ал. 1 ППЗОП, защото на оценяване подлежи не начинът на излагане на информацията в офертите, а характеристиките на представените предложения, така както са описани в чл. 70, ал. 5 ЗОП. Допуснатият от бенефициера порок не се преодолява чрез залагането на дефиниции на понятията "формално описание" и "несъществени пропуски и/или частично съответствие", защото те допълнително насочват към оценка на пълнотата и начина на излагане на информацията в офертите на участниците. За да направи тази експертна оценка, комисията трябва да разполага с точни, ясни, конкретни и подробни правила, а не да разчита на субективното разбиране на членовете за тълкуване на заложените в методиката понятия. Нарушенията, установени в т. 2. от административния акт, сочат на незаконосъобразност на методиката в нарушение на чл. 70, ал. 5, чл. 70, ал. 7, т. 2 и т. 3, б. "б"ЗОП и чл. 33, ал. 1, изр. 2 ППЗОП, поради което е стеснено участието на неограничен кръг от заинтересовани лица. Ето защо изводът на първоинстанционния съд противоречи на доказателствата и закона. </w:t>
        <w:tab/>
        <w:br/>
        <w:tab/>
        <w:t xml:space="preserve">Предвид гореизложеното касационният съдебен състав приема, че сочените от органа нарушения при провеждането на процесната обществена поръчка са доказани. В качеството си на икономически субект, страна по договор за безвъзмездна финансова помощ, Столична община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посочените правни основания. Видно от оспореното пред първоинстанционния съд решение, ръководителят на УО е установил нарушения по т. 1.1, т. 1.2, т. 1.3, т. 1,.4 и т. 2, попадащи в хипотезата на чл. 70, ал. 1, т. 9 ЗУСЕСИФ, които законосъобразно е квалифицирал като нередности по т. 9 от Приложение № 1 към Наредбата (в прил. ред.). </w:t>
        <w:tab/>
        <w:br/>
        <w:tab/>
        <w:t xml:space="preserve">Нарушенията имат негативно финансово влияние и изпълняват предпоставките на нередности, тъй като нарушават конкретни разпоредби на националното законодателство, произтичат от действие на икономически оператор и имат финансово отражение върху бюджета на общността, доколкото създават предпоставка за неподаване на икономически най-изгодни оферти, което би довело до вреда на бюджета на ЕС. Доколкото целта на процедурите по ЗОП е да се даде възможност на повече заинтересовани лица да участват в процедурата, тази цел може да се постигне само в условия на равнопоставеност и свободна конкуренция, гарантиращи целесъобразно разходване на обществени средства и добро изпълнение на специфичните изисквания на възложителите. Въведените от възложителя изисквания ограничават достъпа на кандидатите или участниците до участие в проведената процедура. Това противоречи и на основните принципи на Директива 2014/24/ЕС за осигуряване на провеждането на процедурата за обществени поръчки при свободна и честна конкуренция и равнопоставеност на всички участници. </w:t>
        <w:tab/>
        <w:br/>
        <w:tab/>
        <w:t xml:space="preserve">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 изпълнител,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w:t>
        <w:tab/>
        <w:br/>
        <w:tab/>
        <w:t xml:space="preserve">Решението на ръководителя на УО е законосъобразно и в частта за определяне на финансовата корекция. Съгласно чл. 3, ал. 1 от Наредбата (прил. ред.) при определянето на финансовата корекция се вземат предвид естеството и сериозността на нарушението, допуснато от бенефициера, и финансовото отражение, което то има или би могло да има върху средствата от ЕСИФ, като размерът се изчислява чрез прилагане на диференциален или на пропорционален метод. В настоящия случай УО е определил финансова корекция за всяка от установените нередности по т. 9 от Приложението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На основание чл. 7 от Наредба законосъобразно е определил една финансовата корекция в размер на 5 %, която в рамките на оперативната си самостоятелност подробно е обосновал в решението си. Съобразил е, че няма отстранени участници на това основание, документацията не е обжалвана, обществената поръчка е проведена при добро ниво на конкуренция - 4 подадени оферти. Законосъобразно е определил и основата на финансовата корекция - допустимите разходи по сключения договор с изпълнителя, доколкото, видно от административния договор, изпълнението на проектното предложение включва както допустими средства от ЕСИФ по смисъла на чл. 1, ал. 2 ЗУСЕСИФ, така и собствен принос на възложителя. </w:t>
        <w:tab/>
        <w:br/>
        <w:tab/>
        <w:t xml:space="preserve">Като е отменил оспорения административен акт, първоинстанционният съд е постановил неправилно решение, което следва да бъде отменено. Вместо него, на основание чл. 222, ал. 1 АПК, следва да бъде постановено друго по същество, с което подадената от Столична община жалба бъде отхвърлена като неоснователна. </w:t>
        <w:tab/>
        <w:br/>
        <w:tab/>
        <w:t xml:space="preserve">С оглед изхода на правния спор своевременно направеното от пълномощника на касатора искане за присъждане на съдебните разноски за двете инстанции е основателно. Поради това и подадената от ръководителя на УО частна жалба срещу определение №5296 от 15.07.2020 г., постановено по делото на Административния съд София-град в производство по чл. 248 ГПК, вр. с чл. 144 АПК, с което е осъден да заплати на Столична община разноските за производството пред АССГ в размер на 15 700 лв., е неправилно и подлежи на отмяна. </w:t>
        <w:tab/>
        <w:br/>
        <w:tab/>
        <w:t xml:space="preserve">Искането за разноски е доказано и по размер. Пред АССГ ръководителят на УО е сторил разноски за защита от адвокат в размер на 9 142, 92 лв., съгласно представените доказателства за плащане (л. 347 - 341 от първоинстанционното дело), както и разноски за платено адвокатско възнаграждение от 14 049, 85 лв. за настоящата инстанция съгласно представени доказателства (л. 68 - л. 78 от делото); също така и платени държавни такси: за касационната жалба в размер на 1700 лв., за частната жалба - 150 лв. Възражение за прекомерност по чл. 78, ал. 5 ГПК във вр. с чл. 144 АПК не е направено. </w:t>
        <w:tab/>
        <w:br/>
        <w:tab/>
        <w:t xml:space="preserve">Воден от горното, Върховният административен съд </w:t>
        <w:tab/>
        <w:br/>
        <w:tab/>
        <w:t xml:space="preserve"> </w:t>
        <w:tab/>
        <w:br/>
        <w:tab/>
        <w:t xml:space="preserve">РЕШИ: </w:t>
        <w:tab/>
        <w:br/>
        <w:tab/>
        <w:t xml:space="preserve"> </w:t>
        <w:tab/>
        <w:br/>
        <w:tab/>
        <w:t xml:space="preserve">ОТМЕНЯ решение № 2372 от 30.04.2020 год. и определение № 5296 от 15.07.2020 г., постановени по адм. д. № 4379/ 2019 г. на Административен съд София-град, и вместо тях ПОСТАНОВЯВА: </w:t>
        <w:tab/>
        <w:br/>
        <w:tab/>
        <w:t xml:space="preserve">ОТХВЪРЛЯ жалбата на Столична община, представлявана от кмета на общината, срещу решение № РД-02-36-387 от 25.03.2019 г. на ръководителя на Управляващия орган на Оперативна програма "Региони в растеж 2014-2020". </w:t>
        <w:tab/>
        <w:br/>
        <w:tab/>
        <w:t xml:space="preserve">ОСЪЖДА Столична община, гр. С., ул. "Московска" №33, да заплати на Министерството на регионалното развитие и благоустройството, гр. С., ул. "Св. св. Кирил и Методий" №17 - 19, направените разноски в съдебното производство в общ размер на 25 042, 77 лв. (двадесет и пет хиляди четиредесет и два лева и седемдесет и седем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