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№2100/24.07.2024 по търг. д. №868/2024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2100</w:t>
        <w:tab/>
        <w:br/>
        <w:tab/>
        <w:t xml:space="preserve"/>
        <w:tab/>
        <w:br/>
        <w:tab/>
        <w:t xml:space="preserve"> [населено място], 24.07. 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трети юли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т. д. N 868 по описа за 2024 година и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по делото е образувано по искова молба на П. Н. И. - лично и в качеството на ЕТ „П. И. 99“, подадена чрез пълномощник адв. А. И. от САК. С исковата молба е предявен иск срещу „Лено“ АД за отмяна на основание чл.47, ал.1, т.2 ЗМТА или за прогласяване нищожност на основание чл.47, ал.2 ЗМТА на арбитражно решение, постановено по арб. д. № 102/2023 г. на Арбитражен съд при Асоциация Български арбитражен съд. </w:t>
        <w:tab/>
        <w:br/>
        <w:tab/>
        <w:t xml:space="preserve"/>
        <w:tab/>
        <w:br/>
        <w:tab/>
        <w:t xml:space="preserve">След приключване на процедурата за размяна на съдебни книжа и преди насрочване на делото в открито съдебно заседание пълномощникът на ищцата адв. А. И. е депозирал молба с вх. № 12709/19.07.2024 г., с която е уведомил Върховния касационен съд, че е постигнато извънсъдебно споразумение с ответника „Лено“ АД. Предвид постигнатото споразумение и от името на представляваната П. И. пълномощникът е заявил отказ от предявения иск и е поискал производството по делото да бъде прекратено.</w:t>
        <w:tab/>
        <w:br/>
        <w:tab/>
        <w:t xml:space="preserve"/>
        <w:tab/>
        <w:br/>
        <w:tab/>
        <w:t xml:space="preserve">Отказът от иск, извършен от надлежно упълномощен процесуален представител на ищеца в производството по чл.47 и сл. ЗМТА в границите на учредената с пълномощно от 17.04.2024 г. представителна власт, десезира Върховния касационен съд от разглеждането на спора, предмет на образуваното т. д. № 868/2024 г. Поради това и на основание чл.233 ГПК производството по делото следва да бъде прекратено.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ПРЕКРАТЯВА производството по т. д. № 868/2024 г. по описа на ВКС, Търговска колегия. </w:t>
        <w:tab/>
        <w:br/>
        <w:tab/>
        <w:t xml:space="preserve"/>
        <w:tab/>
        <w:br/>
        <w:tab/>
        <w:t xml:space="preserve">ОПРЕДЕЛЕНИЕТО може да бъде обжалвано с частна жалба пред друг състав на ВКС, Търговска колегия, в едноседмичен срок от връчването. 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