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№62/08.04.2014 по нак. д. №540/2014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закрито заседание на осми април две хиляди и четиринадесета година, в състав:</w:t>
        <w:tab/>
        <w:br/>
        <w:tab/>
        <w:t xml:space="preserve"/>
        <w:tab/>
        <w:br/>
        <w:tab/>
        <w:t xml:space="preserve"> ПРЕДСЕДАТЕЛ: ЕВЕЛИНА СТОЯНОВА </w:t>
        <w:tab/>
        <w:br/>
        <w:tab/>
        <w:t xml:space="preserve"/>
        <w:tab/>
        <w:br/>
        <w:tab/>
        <w:t xml:space="preserve"> ЧЛЕНОВЕ: РУЖЕНА КЕРАНОВА 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с участието на прокурора Мария Михайлова,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540 по описа за 2014 година.</w:t>
        <w:tab/>
        <w:br/>
        <w:tab/>
        <w:t xml:space="preserve"> </w:t>
        <w:tab/>
        <w:br/>
        <w:tab/>
        <w:t xml:space="preserve">С определение № 64 от 20.02.2014 г. по нахд № 44/14 г. Районният съд – гр.Враца прекратил производството по делото и изпратил същото за разглеждане по подсъдност на Районният съд – гр.София.</w:t>
        <w:tab/>
        <w:br/>
        <w:tab/>
        <w:t xml:space="preserve"> </w:t>
        <w:tab/>
        <w:br/>
        <w:tab/>
        <w:t xml:space="preserve">С разпореждане от 12.03.2014 г. по нахд № 4659/14 г. съдия-докладчик при СРС прекратил производството по делото и повдигнал спор за подсъдност, в която връзка делото е изпратено на ВКС.</w:t>
        <w:tab/>
        <w:br/>
        <w:tab/>
        <w:t xml:space="preserve"> </w:t>
        <w:tab/>
        <w:br/>
        <w:tab/>
        <w:t xml:space="preserve">Прокурорът при Върховната касационна прокуратура писмено е изразил становище, че делото е подсъдно на ВРС.</w:t>
        <w:tab/>
        <w:br/>
        <w:tab/>
        <w:t xml:space="preserve"> </w:t>
        <w:tab/>
        <w:br/>
        <w:tab/>
        <w:t xml:space="preserve">За да се произнесе ВКС взе предвид следното:</w:t>
        <w:tab/>
        <w:br/>
        <w:tab/>
        <w:t xml:space="preserve"> </w:t>
        <w:tab/>
        <w:br/>
        <w:tab/>
        <w:t xml:space="preserve">Посочените две дела са образувани по жалба от името на [фирма] срещу наказателно постановление № 572 от 14.12.2013 г. на Председателя на Комисията за регулиране на съобщенията. С последното на ЕАД е наложена имуществена санкция за нарушение по чл. 326а от Закона за електронните съобщения, във връзка с чл. 31, ал. 1 от Функционалните спецификации за осъществяване на преносимост на национално значими номера при промяна на доставчика на обществена мобилна телефонна услуга (ФС). От обстоятелствената част на наказателното постановление е видно, че нарушението, за което е наложена имуществена санкция, се е изразявало в неоснователен отказ да се изпълни задължение за пренос на мобилен номер на абоната Т. Н., подал на 02.01.2013 г. заявление за това в [населено място], чрез търговски представител на [фирма]. На 02.01.2013 г. приемащият доставчик – [фирма] е изпратил заявлението за пренасяне на даряващия доставчик – [фирма], а последният на 24.01.2013 г. уведомил приемащия доставчик, че отказва преносимост на заявения номер.</w:t>
        <w:tab/>
        <w:br/>
        <w:tab/>
        <w:t xml:space="preserve"> </w:t>
        <w:tab/>
        <w:br/>
        <w:tab/>
        <w:t xml:space="preserve">В рамките на изложените констатации се налага извод, че нарушението е извършено в [населено място] – където е подадено заявлението от абоната и където е следвало да се получи решението за пренос на заявения номер, респ. е получен отказ да се стори това.</w:t>
        <w:tab/>
        <w:br/>
        <w:tab/>
        <w:t xml:space="preserve"> </w:t>
        <w:tab/>
        <w:br/>
        <w:tab/>
        <w:t xml:space="preserve">Ето защо на основание чл. 44, ал. 1 от НПК, във връзка с чл. 59, ал. 1 от ЗАНН,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ИЗПРАЩА на Районен съд – гр.Враца прекратените нахд № 4659/14 г. по описа на Районния съд – гр.София и нахд № 44/14 г. по описа на Районен съд-гр.Враца, за разглеждане и решаване по същество.</w:t>
        <w:tab/>
        <w:br/>
        <w:tab/>
        <w:t xml:space="preserve"> </w:t>
        <w:tab/>
        <w:br/>
        <w:tab/>
        <w:t xml:space="preserve">Препис от определението да се изпрати на СРС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