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№8478/03.07.2017 по адм. д. №3977/2017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касационни жалби на министъра на икономиката и [ЮЛ] против решение № 1081 / 26.01.2017 г. по адм. дело № 9276 / 2016 г. на Върховния административен съд, тричленен състав на седмо отделение. Поддържат се оплаквания за неправилност поради нарушение на материалния закон във връзка с прилагането на чл. 2 т. 36 от Регламент (ЕС) № 1303/2013 на Европейския парламент и на Съвета от 17 декември 2013 година за определяне на общоприложими разпоредби за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 Регламент (ЕО) № 1083/2006 на Съвета (Регламент (ЕС) № 1303/2013) и необоснованост – касационни основания по чл. 209, т. 3 АПК. </w:t>
        <w:tab/>
        <w:br/>
        <w:tab/>
        <w:t xml:space="preserve">Всеки от касаторите намира касационната жалба на другия за неоснователна.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 и по двете касационни жалби. </w:t>
        <w:tab/>
        <w:br/>
        <w:tab/>
        <w:t xml:space="preserve">Върховният административен съд, петчленен състав на Втора колегия намира касационните жалби за подадени от надлежни страни по смисъла на чл. 210, ал. 1 АПК, в срока по чл. 211, ал. 1 АПК, при отсъствие на процесуални пречки за тяхното разглеждане и наличие на всички положителни процесуални предпоставки по възникване и упражняване правото на касационно оспорване, поради което са процесуално допустими. Разгледани по същество на основанията посочени в тях и след проверка на решението за валидност, допустимост и съответствие с материалния закон, съгласно чл. 218, ал. 2 от АПК са неоснователни. </w:t>
        <w:tab/>
        <w:br/>
        <w:tab/>
        <w:t xml:space="preserve">С решение № 1081 / 26.01.2017 г. по адм. дело № 9276 / 2016 г. Върховният административен съд, тричленен състав на седмо отделение е отменил акта на ръководителя на Управляващия орган на Оперативна програма „Развитие на конкурентноспособността на българската икономика 2017 – 2013 г.” и министър на икономиката за налагане на финансова корекция, обективиран в писмо изх. № К – 33 – 00 – 20 / 14.07.2016 г. и е върнал преписката за издаване на нов акт съобразно указанията, дадени в мотивите на съдебното решение. </w:t>
        <w:tab/>
        <w:br/>
        <w:tab/>
        <w:t xml:space="preserve">За да постанови този съдебен акт, тричленният състав на Върховния административен съд е приел, че е налице неточно прилагане на относимите материалноправни разпоредби досежно определянето на размера на финансовата корекция изцяло и във връзка с част от констатираните от административния орган нарушения, наложило цялостна отмяна на оспорения акт на основание чл. 146, т. 4 АПК, предвид наличните връзки и детерминираност между отделните негови части.Решението е правилно. </w:t>
        <w:tab/>
        <w:br/>
        <w:tab/>
        <w:t xml:space="preserve">По делото е установено, че между Министерството на икономиката и [ЮЛ] е бил сключен договор за предоставяне на безвъзмездна финансова помощ по оперативна програма „Развитие на конкурентноспособността на българската икономика 2007 – 2013“ по процедура за предоставяне на безвъзмездна финансова помощ „Развитие на приложните изследвания в изследователските организации в България“. В изпълнение на задълженията като бенефициер (получател на безвъзмездната финансова помощ по смисъла на чл. 2, т. 10 от Регламент (ЕС) № 1303/2013 на Европейския парламент и на Съвета от 17 декември 2013 година за определяне на общоприложими разпоредби за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 Регламент (ЕО) № 1083/2006 на Съвета) [ЮЛ] е провел процедура за възлагане на обществена поръчка с предмет:“Доставка, монтаж и въвеждане в експлоатация на оборудване за създаване на високотехнологична лаборатория за специализирани рентгенови методи и томография към ИФХ-Б., разпределено в две позиции- № 1 –Доставка, монтаж и въвеждане в експлоатация на ренгенов апарат за изследване на тънки слоеве и наноструктури и № 2 – Доставка, монтаж и пускане в експлоатация на компютърен ренгенов микротомограф за изследване на комплексни материали, детайли и изделия“. </w:t>
        <w:tab/>
        <w:br/>
        <w:tab/>
        <w:t xml:space="preserve">Наложената финансова корекция е в размер на 25% от стойността на верифицираните разходи по сключените договори по обособени позиции 1. Договор № BG161РО003-1.2.04-0003-С0001 / Su-02, с изпълнител „П. Б.В“ и 2. Договор BG161РО003-1.2.04-0003-С0001 / Su-01 с изпълнител „И.-Б.“ Д.. </w:t>
        <w:tab/>
        <w:br/>
        <w:tab/>
        <w:t xml:space="preserve">Управляващият орган е констатирал две групи нарушения при откриване на процедурата за възлагане на обществена поръчка. Първата група касаят обявлението и документацията, съдържащи ограничителни изисквания към участниците в процедурата. Втората група представляват нарушения, водещи до изменение на критериите за подбор след отваряне на офертите (избраният изпълнител по обособена позиция 1 „П. Б.В“ не отговаря на всички изисквания на възложителя). Релевираните нарушения са във връзка с чл. 6, ал. 1, т. 9 и т. 13 от Методологията за определяне на финансови корекции във връзка с нарушения, установени при възлагането и изпълнението на обществени поръчки и на договори по проекти, съфинансирани от Структурните фондове, Кохезионния фонд на Европейския съюз, Европейския земеделски фонд за развитие на селските райони, Европейския фонд за рибарство и фондовете от Общата програма „Солидарност и управление на миграционните потоци“, приета с ПМС №134 от 2010 г.(Методологията). </w:t>
        <w:tab/>
        <w:br/>
        <w:tab/>
        <w:t xml:space="preserve">Съгласно чл. 2, т. 36 от Регламент (ЕС) № 1303/2013 „нередност“ означава всяко нарушение на правото на Съюза или на националното право, свързано с прилагането на тази разпоредба, произтичащо от действие или бездействие на икономически оператор, участващ в прилагането на европейските структурни и инвестиционни фондове, което има или би имало за последица нанасянето на вреда на бюджета на Съюза чрез начисляване на неправомерен разход в бюджета на Съюза. </w:t>
        <w:tab/>
        <w:br/>
        <w:tab/>
        <w:t xml:space="preserve">Обосновано тричленният състав на Върховния административен съд е приел, че първата група нарушения, описани в акта на ръководителя на управляващия орган като нередност по т. 9 от приложението към Методологията не са установени. </w:t>
        <w:tab/>
        <w:br/>
        <w:tab/>
        <w:t xml:space="preserve">Изискването за оторизация от производителя за конкретната поръчка се отнася единствено и само за търговския партньор, но не и за производителя, официалния търговски представител и дистрибутора на фирмата производител с права да предлага продукти на българския пазар. За лицата, притежаващи изключителни права не съществува допълнителна тежест, която да води до ограничаване правото им на участие в процедурата. Изискването участникът да осигури сервизна база/сервизен специалист на територията на Р. Б не е в нарушение на разпоредбите на чл. 25, ал. 5, чл. 51а и чл. 2, ал. 1, т. 3 от ЗОП (ЗАКОН ЗА ОБЩЕСТВЕНИТЕ ПОРЪЧКИ) отм. , Поставеното в обществената поръчка изискване е съобразено с разпоредбите на ЗБИЯЕ (ЗАКОН ЗА БЕЗОПАСНО ИЗПОЛЗВАНЕ НА ЯДРЕНАТА ЕНЕРГИЯ)(ЗБИЯЕ), който регулира дейностите, свързани с безопасното ползване на ядрената енергия и йонизиращите лъчения. Специалният разрешителен и лицензионен режим на тези дейности допуска прилагането на териториалния принцип при осигуряване на сервизна база/сервизен специалист за изпълнение на предмета на обществената поръчка. </w:t>
        <w:tab/>
        <w:br/>
        <w:tab/>
        <w:t xml:space="preserve">Въведеното изискване за представяне на лицензия от Агенцията за ядрено регулиране не е ограничително. То е в съответствие с чл. 60, ал. 1 ЗБИЯЕ. </w:t>
        <w:tab/>
        <w:br/>
        <w:tab/>
        <w:t xml:space="preserve">По втората група нарушения първостепенният съд обосновано е приел, че липсата на изискуеми документи в офертата на избрания изпълнител „П. Б.В“ и неотстраняването на тези нередовности от комисията по обществената поръчка съставляват нарушения по смисъла на т. 13 от приложението към Методологията. </w:t>
        <w:tab/>
        <w:br/>
        <w:tab/>
        <w:t xml:space="preserve">От издадения акт обаче не става ясно защо финансовата корекция, наложена за втората група нарушения е определена в размер на 25% върху основа – верифицираните разходи по двата сключени договора при положение, че нарушенията от втората група се отнасят само до обществената поръчка по обособена позиция 1. </w:t>
        <w:tab/>
        <w:br/>
        <w:tab/>
        <w:t xml:space="preserve">Правилно тричленният състав е посочил, че след като установените пред него нарушения касаят само договора по обособена позиция 1 като основа за налагане на финансовата корекция следва да се използва само сумата по нея. Налице е и несързамреност. </w:t>
        <w:tab/>
        <w:br/>
        <w:tab/>
        <w:t xml:space="preserve">Настоящият петчленен състав на Върховния административен съд намира, че първоинстанционният съд е обсъдил относимите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При тези съображения и след служебна проверка на атакуваното съдебно решение, настоящата инстанция не констатира наличие на пороци, обосноваващи касационни основания по чл. 209 АПК и същото като валидно, допустимо и правилно следва да бъде потвърдено. </w:t>
        <w:tab/>
        <w:br/>
        <w:tab/>
        <w:t xml:space="preserve">Водим от горното и на основание чл. 221, ал. 2, предл. първо АПК, Върховният административен съд, петчленен състав на Втора колегияРЕШИ:</w:t>
        <w:tab/>
        <w:br/>
        <w:tab/>
        <w:t xml:space="preserve">ОСТАВЯ В СИЛА решение № 1081 / 26.01.2017 г. по адм. дело № 9276 / 2016 г. на Върховния административен съд.РЕШЕНИЕТО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