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№5499/27.11.2024 по гр. д. №1894/2024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5499</w:t>
        <w:tab/>
        <w:br/>
        <w:tab/>
        <w:t xml:space="preserve"/>
        <w:tab/>
        <w:br/>
        <w:tab/>
        <w:t xml:space="preserve">гр. София, 27.11.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осемнадесети ноември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1894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ПРБ против решение № 27/09.02.2024 г., постановено по гр. д.№ 394/2023 г. от състав на АС – Бургас.</w:t>
        <w:tab/>
        <w:br/>
        <w:tab/>
        <w:t xml:space="preserve"/>
        <w:tab/>
        <w:br/>
        <w:tab/>
        <w:t xml:space="preserve"> Ответникът оспорва касационната жалба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искът с правно основание чл.2, ал.1, т.3 ЗОДОВ е основателен за сумата от 4 000 лева и е потвърдил постановеното в този смисъл решение на окръжен съд.</w:t>
        <w:tab/>
        <w:br/>
        <w:tab/>
        <w:t xml:space="preserve"/>
        <w:tab/>
        <w:br/>
        <w:tab/>
        <w:t xml:space="preserve"> Съдът е приел, че ищецът на 23.07.2017г. е бил привлечен като обвиняем по досъдебно производство №199/2017г. по описа на РУ [населено място] за извършено престъпление по чл.325 ал.2 вр. ал.1 вр. чл.20 ал.2 вр. ал.1 НК. С постановление на Районна прокуратура [населено място] Н. е задържан за срок от 72 часа по реда на чл.64 ал.2 НПК, с оглед довеждането му пред съда и внасяне на искане за определяне на мярка за неотклонение задържане под стража. С определение на Районен съд [населено място] от 25.07.2017г. спрямо ищеца е била взета мярка за неотклонение задържане под стража, потвърдена след обжалване с определение на БОС от 31.07.2017г. На 10.08.2017г. ищецът е подал искане за изменение на мярката му за неотклонение в по-лека, образувано е било ЧНД 3921/2017г. по описа на БРС и съдът с Определение № 1504 от 22.08.2017г. по нчд № 3921/2017г. е изменил МНО от задържане под стража в парична гаранция в размер на 1000 лева. По досъдебното производство са извършени множество процесуалноследствени действия - разпити на обвиняемите и на свидетелите, разпознавания. С постановление за частично прекратяване на Б. от 07.02.2018г. досъдебното производство по отношение на ищеца е прекратено, по съображения, че извършването на деянието, в което е бил обвинен е недоказано.</w:t>
        <w:tab/>
        <w:br/>
        <w:tab/>
        <w:t xml:space="preserve"/>
        <w:tab/>
        <w:br/>
        <w:tab/>
        <w:t xml:space="preserve"> При определянето на обезщетението за неимуществени вреди съдът е отчел, че обвинението не е за тежко умишлено престъпление, а досъдебното производство е приключило в разумен срок. Отчел и факта, че спрямо ищеца е взета мярка за неотклонение задържане под стража с продължителност един месец, през който период ищецът е търпял неудобства и притеснения, включително и такива от битов характер поради лошите условия в ареста. Съобразени са и установените по делото факти за медийното отразяване на случая и отражението им върху емоционалното състояние на ищеца, данните за влошаване на здравословното му състояние по време на престоя му в ареста и последиците по отношение на трудовата му ангажираност. При определяне размера на обезщетението съдът е отчел и т. нар.“специфични вреди“, претърпени от ищеца и установени по делото, като е определил обезщетение за неимуществени вреди в размер от 4 000 лв.</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приложението на разпоредбата на чл.52 ЗЗД при наличие на предпоставките на чл.280, ал.1, т.1 и т.3 ГПК.</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касационното обжалване не следва да се допуска.</w:t>
        <w:tab/>
        <w:br/>
        <w:tab/>
        <w:t xml:space="preserve"/>
        <w:tab/>
        <w:br/>
        <w:tab/>
        <w:t xml:space="preserve"> С оглед изхода на спора, в полза на пълномощника на ответника по касационната жалба следва да се присъди адвокатско възнаграждение в размер на 400 лева. </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27/09.02.2024 г., постановено по гр. д.№ 394/2023 г. от състав на АС – Бургас.</w:t>
        <w:tab/>
        <w:br/>
        <w:tab/>
        <w:t xml:space="preserve"/>
        <w:tab/>
        <w:br/>
        <w:tab/>
        <w:t xml:space="preserve"> ОСЪЖДА Прокуратура на Република България да заплати на адв. П. В. от АК – Б. сумата 400 /четиристотин/ лева, на основание чл.38 ЗЗД. </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