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№28/24.01.2014 по търг. д. №4745/2013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 [населено място], 24.01.2014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трети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№4745/2013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– в несъстоятелност със съдебен адрес в [населено място], представлявано от синдика В. Ц. срещу решение от 27.02.2013г., постановено по т. д. №3237/2012г. на САС. С обжалваното решение апелативната инстанция се е произнесла по иск с правно основание чл. 646, ал. 2, т. 4 ТЗ за обявяване за нищожна по отношение на кредиторите на масата на несъстоятелността извършена от длъжника – в несъстоятелност апортна вноска в капитала на [фирма], представляваща недв. имот.</w:t>
        <w:tab/>
        <w:br/>
        <w:tab/>
        <w:t xml:space="preserve"> </w:t>
        <w:tab/>
        <w:br/>
        <w:tab/>
        <w:t xml:space="preserve"> На основание чл. 229, ал. 1, т. 6 ГПК производството по делото ще следва да бъде спряно. С определение от 11.06.2013г. по к. д. № 12/2013г. К. съд на Република България е допуснал до разглеждане по същество на искане на ОС на ВКС, ТК </w:t>
        <w:tab/>
        <w:br/>
        <w:tab/>
        <w:t xml:space="preserve"> </w:t>
        <w:tab/>
        <w:br/>
        <w:tab/>
        <w:t xml:space="preserve">за установяване на противоконституционност на § 14, ал. 1 в частта „и искови производства за попълване масата на несъстоятелността”, § 14, ал. 2 и § 15 от преходните и заключителните разпоредби на Закона за изменение и допълнение на Търговския закон (обн., ДВ, бр. 20 от 28.02.2013 г.)</w:t>
        <w:tab/>
        <w:br/>
        <w:tab/>
        <w:t xml:space="preserve"> </w:t>
        <w:tab/>
        <w:br/>
        <w:tab/>
        <w:t xml:space="preserve"> по отношение на приложим по делото закон, а именно чл. 646, ал. 2, т. 4 ТЗ.</w:t>
        <w:tab/>
        <w:br/>
        <w:tab/>
        <w:t xml:space="preserve"> </w:t>
        <w:tab/>
        <w:br/>
        <w:tab/>
        <w:t xml:space="preserve"> Затова съставът на ТК на ВКС,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т. д. № 4745/13г. на ВКС, ТК до произнасяне на КС на РБ с решение по к. д. №12/2013г.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