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№1152/19.11.2013 по гр. д. №4605/2013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1152</w:t>
        <w:tab/>
        <w:br/>
        <w:tab/>
        <w:t xml:space="preserve"> </w:t>
        <w:tab/>
        <w:br/>
        <w:tab/>
        <w:t xml:space="preserve"> ГР. С., 19.11.2013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12.11.2013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№4605/13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Л. С. срещу въззивното решение на Окръжен съд Варна /ОС/ по гр. д. №66/13 г. и по допускане на обжалването. С обжалваната част от въззивното решение е отхвърлен искът на касаторката срещу [фирма], [населено място], с пр. осн. чл. 92 ЗЗД, вр. с чл. 34 от Общите условия за продажба на ел. енергия на дружеството за размера над присъдените 3 590 лв. до предявения размер от 43 800 лв.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от ГПК. Намира, че посочените в изложението изводи на ОС за размера на неустойката и по –конкретно по въпроса: ограничен ли е максималният й размер до 90 дни от разпоредбата на чл. 34, ал. 2 от ОУ, тълкувана съобр. чл. 20 от ЗЗД, са немотивирани и необосновани и противоречат на цитираната и приложена практика на ВКС, разкриваща точното съдържание и предназначението на клаузата на чл. 34, ал. 2 от ОУ. Въпросът: допустимо ли е тълкуване на договор или отделна негова клауза, ако действителната воля на страните е ясна и безспорна, е разрешен от въззивния съд в противоречие с р. по гр. д. №1421/10 г. на първо г. о. и по т. д. №218/12 г. на второ т. о., в които е посочено, че тълкуване се налага, когато договорът или отделна клауза са неясни и следва да се разкрие действителната воля на страните..</w:t>
        <w:tab/>
        <w:br/>
        <w:tab/>
        <w:t xml:space="preserve"> </w:t>
        <w:tab/>
        <w:br/>
        <w:tab/>
        <w:t xml:space="preserve"> В. решение е формално мотивирано като са изложени съображения за дължимост на неустойката по чл. 34, ал. 2 от ОУ при продължително нерегламентирано прекъсване на електроснабдяването по вина на доставчика. В. съд е приел, че посочената разпоредба ограничава неустойката за срок от 90 дни, като обезщетение за по-големи вреди може да се търси по общия ред.</w:t>
        <w:tab/>
        <w:br/>
        <w:tab/>
        <w:t xml:space="preserve"> </w:t>
        <w:tab/>
        <w:br/>
        <w:tab/>
        <w:t xml:space="preserve"> Приетото от въззивния съд противоречи на даденото в практиката на ВКС – напр. р. по т. д. №204/12 г. на второ т. о., тълкуване на същата разпоредба, а именно – че деветдесетдневният срок е такъв за извънсъдебно ангажиране на договорната отговорност на дружеството за неизпълнение на задължения по договора. По характера си срокът е давностен, противоречи на чл. 111 от ЗЗД, като ограничава правата на потребителите и това дава основание цитираната разпоредба на ОУ да се признае за неравноправна по см. на чл. 143 от Закона за потребителите.</w:t>
        <w:tab/>
        <w:br/>
        <w:tab/>
        <w:t xml:space="preserve"> </w:t>
        <w:tab/>
        <w:br/>
        <w:tab/>
        <w:t xml:space="preserve"> Обжалването следва да се допусне на осн. чл. 280, ал. 1, т. 1 ГПК по поставените въпроси за тълкуване на чл. 34, ал. 2 от ОУ / по отношение на ограничението в периода на неустойката, приложено от ОС/, с оглед цитираната в изложението практика на ВКС, разкриваща различен смисъл и насока на същата разпоредба. </w:t>
        <w:tab/>
        <w:br/>
        <w:tab/>
        <w:t xml:space="preserve"> </w:t>
        <w:tab/>
        <w:br/>
        <w:tab/>
        <w:t xml:space="preserve"> Затова и на осн. чл. 280, ал. 1, т. 1 ГПК, ВКС на РБ, трето гр. отд.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Варна по гр. д. №66/13 г. от 27.03.13 г. в обжалваната отхвърлителна за иска част.</w:t>
        <w:tab/>
        <w:br/>
        <w:tab/>
        <w:t xml:space="preserve"> </w:t>
        <w:tab/>
        <w:br/>
        <w:tab/>
        <w:t xml:space="preserve"> К. е освободен от държавна такса. Да се докладва за насрочване в о. с.з.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