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№257/08.07.2020 по ч.гр.д. №3351/2018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257</w:t>
        <w:tab/>
        <w:br/>
        <w:tab/>
        <w:t xml:space="preserve"> </w:t>
        <w:tab/>
        <w:br/>
        <w:tab/>
        <w:t xml:space="preserve">София, 08. юли 2020 г.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 в закрито заседание на трети юли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Б. Б</w:t>
        <w:tab/>
        <w:br/>
        <w:tab/>
        <w:t xml:space="preserve"> </w:t>
        <w:tab/>
        <w:br/>
        <w:tab/>
        <w:t xml:space="preserve"> ЧЛЕНОВЕ: Б. И</w:t>
        <w:tab/>
        <w:br/>
        <w:tab/>
        <w:t xml:space="preserve"> </w:t>
        <w:tab/>
        <w:br/>
        <w:tab/>
        <w:t xml:space="preserve"> Д. Д</w:t>
        <w:tab/>
        <w:br/>
        <w:tab/>
        <w:t xml:space="preserve"> </w:t>
        <w:tab/>
        <w:br/>
        <w:tab/>
        <w:t xml:space="preserve">като разгледа докладваното от съдията Б.Б ч. гр. д. № 3351 по описа за 2018 година, за да се произнесе, взе пред вид следното:</w:t>
        <w:tab/>
        <w:br/>
        <w:tab/>
        <w:t xml:space="preserve"> </w:t>
        <w:tab/>
        <w:br/>
        <w:tab/>
        <w:t xml:space="preserve">Обжалвано е определение № 355/25.06.2018 на Варненския апелативен съд по ч. гр. д. № 302/2018, с което е потвърдено определение № 171/09.05.2018 на Шуменския окръжен съд по гр. д. № 139/2018 за прекратяване на производството по предявеният иск за отнемане в полза на държавата на незаконно придобито имущество на основание чл. 71, ал. 1 ЗОПДНПИ отм.. </w:t>
        <w:tab/>
        <w:br/>
        <w:tab/>
        <w:t xml:space="preserve"> </w:t>
        <w:tab/>
        <w:br/>
        <w:tab/>
        <w:t xml:space="preserve">Производството по делото е спряно на основание чл. 292 ГПК с определение № 336/04.10.1918 до произнасянето на съда по ТД № 1/2018, ВКС, ОСГК по тълк. д. № 1/2018, в което е прието, че „Изтичането на срока за проверка по чл. 15 ал. 2 ЗОПДИППД отм., съответно по чл. 27 ал. 1 и 2 ЗОДНПИ отм. и чл. 112 ал. 1 и 2 ЗПКОНПИ, не е процесуална пречка за надлежното упражняване и съществуването на правото на иск и на материалното право на държавата за отнемане на имущество, придобито от престъпна дейност и на незаконно придобито имущество, т. е. предвиденият в чл. 15 ал. 2 ЗОПДИППД отм., съответно по чл. 27 ал. 1 и 2 ЗОДНПИ отм. и чл. 112 ал. 1 и 2 ЗПКОНПИ срок за извършване на проверки и събиране на доказателства за установяване на произхода и местонахождението на имущество, за което има данни, че е придобито пряко или косвено от престъпна дейност е инструктивен, и е допустимо образуване на производство по чл. 28 ЗОПДИППД отм., чл. 74 ЗОДНПИ отм. и чл. 153 ЗПКОНПИ след изтичане на този срок“, намира, че производството по делото следва да бъде възобновено като касационното обжалване бъде допуснато по същия правен въпрос, поставен от касатора КПКОНПИ.</w:t>
        <w:tab/>
        <w:br/>
        <w:tab/>
        <w:t xml:space="preserve"> </w:t>
        <w:tab/>
        <w:br/>
        <w:tab/>
        <w:t xml:space="preserve">За да постанови обжалваното определение, въззивният съд е приел, че срокът за извършване на проверката по чл. 27 ал. 1 и 2 ЗОДНПИ отм. е преклузивен. Започнал е да тече на 17.07.2015 г. и след продължаването му на 13.08.2016 г. с максимално допустимите шест месеца той е изтекъл на 17.01.2017 г. Взетото на 17.01.2018 г. – след изтичането на срока, от комисията решение за образуване на производство не може да постави начало на производство по отнемане, тъй като то е недопустимо. Недопустим е и предявеният иск.</w:t>
        <w:tab/>
        <w:br/>
        <w:tab/>
        <w:t xml:space="preserve"> </w:t>
        <w:tab/>
        <w:br/>
        <w:tab/>
        <w:t xml:space="preserve">Правилно въззивният съд е приел от фактическа страна, че срокът за извършването на проверката е започнал да тече на 17.07.2015 г. и след продължаването му на 13.08.2016 г. с максимално допустимите шест месеца той е изтекъл на 17.01.2017 г. Неправилно обаче съдът е приел, че този срок е преклузивен и с изтичането му се погасява правото на държавата да иска отнемане на имущество на основание чл. 71, ал. 1 ЗОПДНПИ отм.. </w:t>
        <w:tab/>
        <w:br/>
        <w:tab/>
        <w:t xml:space="preserve"> </w:t>
        <w:tab/>
        <w:br/>
        <w:tab/>
        <w:t xml:space="preserve">Видно от изложеното обжалваното определение е незаконосъобразно, поради което следва да бъде отменено, а делото върнато на първоинстанционния съд за продължаване на съдопроизводствените действия по разглеждане на предявения иск, след съобразяване на правното значение за решаването на делото на отправените с определение № 8181/02.04.2019 на Софийския градски съд по гр. д. № 704/2017 до Съда на Европейския съюз правни въпроси:</w:t>
        <w:tab/>
        <w:br/>
        <w:tab/>
        <w:t xml:space="preserve"> </w:t>
        <w:tab/>
        <w:br/>
        <w:tab/>
        <w:t xml:space="preserve">1. Наказателна по смисъла на Директива 2014/42/ЕС на Европейския парламент и на Съвета от 3 април 2014 година за обезпечаване и конфискация на средства и облаги от престъпна дейност в Европейския съюз или гражданскоправна е мярката по отнемане на незаконно придобито имущество, ако:</w:t>
        <w:tab/>
        <w:br/>
        <w:tab/>
        <w:t xml:space="preserve"> </w:t>
        <w:tab/>
        <w:br/>
        <w:tab/>
        <w:t xml:space="preserve">A) обявената от националния закон цел на отнемане на имуществото е генералната превенция - предотвратяване на възможностите за незаконно придобиване на имущество и разпореждането с него, но без да се поставя като условие за конфискацията извършване на престъпление или друго правонарушение и съществуването на пряка или косвена връзка между правонарушението и придобитото имущество;</w:t>
        <w:tab/>
        <w:br/>
        <w:tab/>
        <w:t xml:space="preserve"> </w:t>
        <w:tab/>
        <w:br/>
        <w:tab/>
        <w:t xml:space="preserve">B) от отнемане е застрашен не отделен имуществен обект, а (1)цялото имущество на проверяваното лице, (II) имуществени права на третите лица (физически и юридически), придобити, възмездно или безвъзмездно от проверяваното лице и (III) имуществени права на съконтрахентите на проверяваното и третите лица;</w:t>
        <w:tab/>
        <w:br/>
        <w:tab/>
        <w:t xml:space="preserve"> </w:t>
        <w:tab/>
        <w:br/>
        <w:tab/>
        <w:t xml:space="preserve">C) единствено условие за отнемане е въвеждането на необорима презумпция за незаконност на цялото имущество, за което не е установен законен източник (без предварителна регулация на значението на „законен/незаконен източник“);</w:t>
        <w:tab/>
        <w:br/>
        <w:tab/>
        <w:t xml:space="preserve"> </w:t>
        <w:tab/>
        <w:br/>
        <w:tab/>
        <w:t xml:space="preserve">D) преурежда законността на придобитото имущество за всички засегнати лица (проверявано, трети лица и техните съконтрахенти в миналото) с обратна сила за 10 години назад като резултат на недоказване на източници на придобиване на имуществото на проверяваното лице, за чието доказване не е съществувало законно задължение към момента на придобиването на конкретното имуществено право?</w:t>
        <w:tab/>
        <w:br/>
        <w:tab/>
        <w:t xml:space="preserve"> </w:t>
        <w:tab/>
        <w:br/>
        <w:tab/>
        <w:t xml:space="preserve">2. Следва ли установените в чл. 8 от Директива 2014/42/ЕС минимални стандарти на гарантирани права на собствениците и третите лица да се тълкуват в смисъл, че допускат национално право и съдебна практика, които предвиждат конфискация без наличие на предвидените в член 4, член 5 и член 6 от Директивата предпоставки за конфискация, когато наказателното производство срещу съответното лице е прекратено поради липса на престъпление (потвърдено от съд) или лицето е оправдано поради липса на престъпление?</w:t>
        <w:tab/>
        <w:br/>
        <w:tab/>
        <w:t xml:space="preserve"> </w:t>
        <w:tab/>
        <w:br/>
        <w:tab/>
        <w:t xml:space="preserve">3. По-специално, следва ли чл. 8 от Директива 2014/42/ЕС да се тълкува в смисъл, че гаранциите, които тази разпоредба предоставя на правата на осъдено лице, чиито имущество подлежи на конфискация, следва да се прилагат и в случай като настоящия в производство, което протича паралелно и независимо от наказателното производство?</w:t>
        <w:tab/>
        <w:br/>
        <w:tab/>
        <w:t xml:space="preserve"> </w:t>
        <w:tab/>
        <w:br/>
        <w:tab/>
        <w:t xml:space="preserve">4. Следва ли презумпцията за невиновност, закрепена в член 48, параграф 1, изискването за зачитане на правото на защита, установено в чл. 48, параграф 2 от Хартата на основните права на ЕС и принципът на ефективност да се тълкуват в смисъл, че допускат национална правна уредба като тази по главното производство, която:създава презумпция за престъпен характер на имущество с неустановен или недоказан произход (чл. 1, ал. 2 ЗОПДНПИ отм. ;</w:t>
        <w:tab/>
        <w:br/>
        <w:tab/>
        <w:t xml:space="preserve"> </w:t>
        <w:tab/>
        <w:br/>
        <w:tab/>
        <w:t xml:space="preserve">• създава презумпция за наличие на основателно предположение за незаконно придобито имущество (чл. 21, ал. 2 ЗОПДНПИ отм. );</w:t>
        <w:tab/>
        <w:br/>
        <w:tab/>
        <w:t xml:space="preserve"> </w:t>
        <w:tab/>
        <w:br/>
        <w:tab/>
        <w:t xml:space="preserve">• размества доказателствената тежест за доказване на произхода на имуществото и средствата за неговото придобиване не само за проверяваното лице, а и за третите лица, които трябва да доказват произход не на своето, а на имуществото на праводателя си, дори когато придобиването е възмездно;</w:t>
        <w:tab/>
        <w:br/>
        <w:tab/>
        <w:t xml:space="preserve"> </w:t>
        <w:tab/>
        <w:br/>
        <w:tab/>
        <w:t xml:space="preserve">• въвежда „имущественото несъответствие“ като единствено и решаващо доказателство за наличие на незаконно придобито имущество;</w:t>
        <w:tab/>
        <w:br/>
        <w:tab/>
        <w:t xml:space="preserve"> </w:t>
        <w:tab/>
        <w:br/>
        <w:tab/>
        <w:t xml:space="preserve">• размества доказателствената тежест за всички засегнати лица, а не само за осъденото лице, и то преди и независимо от неговото осъждане;</w:t>
        <w:tab/>
        <w:br/>
        <w:tab/>
        <w:t xml:space="preserve"> </w:t>
        <w:tab/>
        <w:br/>
        <w:tab/>
        <w:t xml:space="preserve">• допуска прилагането на методика за правно и икономическо проучване и анализ, въз основа на която се установява предположението за незаконен характер на съответното имущество, както и неговата стойност, което предположение е обвързващо за решаващия съдебен орган, без той да може да осъществи пълен съдебен контрол върху съдържането и прилагането на методиката?</w:t>
        <w:tab/>
        <w:br/>
        <w:tab/>
        <w:t xml:space="preserve"> </w:t>
        <w:tab/>
        <w:br/>
        <w:tab/>
        <w:t xml:space="preserve">5. Следва ли чл. 5 (1) от Директива 2014/42/ЕС на Европейския парламент и на Съвета от 3 април 2014 година за обезпечаване и конфискация на средства и облаги от престъпна дейност в Европейския съюз да се тълкува в смисъл, че допуска националният закон да замени разумното предположение (въз основа на събраните по делото и преценени от съда обстоятелства), че имуществото е придобито чрез престъпно поведение, с предположението (презумпцията) за противоправност на източника на забогатяване, която се основава единствено на установено обстоятелство, че забогатяването е над посочена в националния закон стойност (например 75 000 евро в продължение на 10 години)?</w:t>
        <w:tab/>
        <w:br/>
        <w:tab/>
        <w:t xml:space="preserve"> </w:t>
        <w:tab/>
        <w:br/>
        <w:tab/>
        <w:t xml:space="preserve">6. Следва ли правото на собственост, в качеството му на общ принцип на правото на Европейския съюз, установено в член 17 от Хартата на основните права на Европейския съюз, да се тълкува в смисъл, че допуска национална правна уредба като тази по главното производство, която:</w:t>
        <w:tab/>
        <w:br/>
        <w:tab/>
        <w:t xml:space="preserve"> </w:t>
        <w:tab/>
        <w:br/>
        <w:tab/>
        <w:t xml:space="preserve">• въвежда необорима презумпция относно съдържанието и обхвата на незаконно придобитото имущество (чл. 63, ал. 2 ЗОПДНПИ отм. );</w:t>
        <w:tab/>
        <w:br/>
        <w:tab/>
        <w:t xml:space="preserve"> </w:t>
        <w:tab/>
        <w:br/>
        <w:tab/>
        <w:t xml:space="preserve">• въвежда необорима презумпция за недействителност на сделки на придобиване и разпореждане (чл. 65 ЗОПДНПИ отм. ) или</w:t>
        <w:tab/>
        <w:br/>
        <w:tab/>
        <w:t xml:space="preserve"> </w:t>
        <w:tab/>
        <w:br/>
        <w:tab/>
        <w:t xml:space="preserve">• ограничава правата на третите лица, притежаващи или претендиращи самостоятелни права върху имуществото, обект на отнемане чрез процедурата за уведомяването им за делото по реда на чл. 76, ал. 1 ЗОПДНПИ отм.? </w:t>
        <w:tab/>
        <w:br/>
        <w:tab/>
        <w:t xml:space="preserve"> </w:t>
        <w:tab/>
        <w:br/>
        <w:tab/>
        <w:t xml:space="preserve">7. Пораждат ли директен ефект разпоредбите на член 6, параграф 2 и на член 8, параграф 1-10 от Директива 2014/42/ЕС в частта им, в която предвиждат гаранции и предпазни клаузи за засегнатите от конфискацията лица или за добросъвестните трети лица?</w:t>
        <w:tab/>
        <w:br/>
        <w:tab/>
        <w:t xml:space="preserve"> </w:t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ВЪЗОБНОВЯВА производството по делото.</w:t>
        <w:tab/>
        <w:br/>
        <w:tab/>
        <w:t xml:space="preserve"> </w:t>
        <w:tab/>
        <w:br/>
        <w:tab/>
        <w:t xml:space="preserve">ДОПУСКА касационното обжалване на определение № 355/25.06.2018 на Варненския апелативен съд по ч. гр. д. № 302/2018.</w:t>
        <w:tab/>
        <w:br/>
        <w:tab/>
        <w:t xml:space="preserve"> </w:t>
        <w:tab/>
        <w:br/>
        <w:tab/>
        <w:t xml:space="preserve">ОТМЕНЯ определение № 355/25.06.2018 на Варненския апелативен съд по ч. гр. д. № 302/2018.</w:t>
        <w:tab/>
        <w:br/>
        <w:tab/>
        <w:t xml:space="preserve"> </w:t>
        <w:tab/>
        <w:br/>
        <w:tab/>
        <w:t xml:space="preserve">ВРЪЩА делото на Шуменския окръжен съд за продължаване на съдопроизводствените действия по разглеждане на предявения иск съгласно горните указания.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