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№17/15.01.2021 по гр. д. №3656/2020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</w:t>
        <w:tab/>
        <w:br/>
        <w:tab/>
        <w:t xml:space="preserve"> </w:t>
        <w:tab/>
        <w:br/>
        <w:tab/>
        <w:t xml:space="preserve">София, 15.01.2021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осми декември,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№3656/2020 г.</w:t>
        <w:tab/>
        <w:br/>
        <w:tab/>
        <w:t xml:space="preserve"> </w:t>
        <w:tab/>
        <w:br/>
        <w:tab/>
        <w:t xml:space="preserve">Производството е образувано по частна жалба вх. №260542 от 18.09.2020 г. на Д. Т. К. - Р., [населено място], срещу протоколно определение от 14.09.2020 г. по гр. дело № 345/2020 г. на Пловдивския апелативен съд, с което е оставено без уважение искането и за спиране изпълнителното производство на основание чл. 420 ГПК.</w:t>
        <w:tab/>
        <w:br/>
        <w:tab/>
        <w:t xml:space="preserve"> </w:t>
        <w:tab/>
        <w:br/>
        <w:tab/>
        <w:t xml:space="preserve">Жалбоподателката твърди, че обжалваното определение е неправилно, защото е налице хипотезата на чл. 420, ал. 2, т. 2 ГПК – вземането се основава на неравноправна клауза в договор, сключен с потребител.</w:t>
        <w:tab/>
        <w:br/>
        <w:tab/>
        <w:t xml:space="preserve"> </w:t>
        <w:tab/>
        <w:br/>
        <w:tab/>
        <w:t xml:space="preserve">Ответникът по частната жалба Д. О. Т., [населено място], оспорва жалбата.</w:t>
        <w:tab/>
        <w:br/>
        <w:tab/>
        <w:t xml:space="preserve"> </w:t>
        <w:tab/>
        <w:br/>
        <w:tab/>
        <w:t xml:space="preserve">Искането пред въззивния съд е за спиране на основание чл. 420, ал. 5 ГПК принудително изпълнение на заповед за изпълнение на парично задължение по чл. 417 ГПК, произтичащо от договор за заем, сключен между страните по делото като физически лица. Ето защо в случая няма договор, сключен с потребител, нито са налице останалите предпоставки по чл. 420, ал. 2 ГПК за спиране на изпълнението, поради което правилно е отхвърлено искането за спиране.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определение от 14.09.2020 г. по гр. дело № 345/2020 г. на Пловдивския апелативен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