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№266/29.04.2020 по ч. търг. д. №2168/2019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№266</w:t>
        <w:tab/>
        <w:br/>
        <w:tab/>
        <w:t xml:space="preserve"> </w:t>
        <w:tab/>
        <w:br/>
        <w:tab/>
        <w:t xml:space="preserve"> София. 29.04.2020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петнадесети април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т. дело № 2168/2019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„Ю. Б” АД, ЕИК[ЕИК], чрез процесуален пълномощник, срещу решение № 98 от 09.05.2019 г. по в. т.д. № 71/2019 г. на Апелативен съд - В. Т, в частта, с която след частична отмяна и съответно частично потвърждаване на решение № 195 от 16.11.2018 г. по т. д. № 33/2018 г. на Окръжен съд – Плевен, е отхвърлен предявения от банката иск за установяване съществуването на вземане от Б. А. М. за разликата над 18 012.65 лв. до 29 767.02 CHF - главница по договор за потребителски кредит № HL 36374/31.03.2008 г., изчислена като левова равностойност на 14 901.27 швейцарски франка, включваща падежирали и неплатени вноски за периода 10.10.2013 г. – 02.04.2019 г., ведно със законната лихва върху съответните вноски, за които е издадена заповед за изпълнение по ч. гр. д. № 7360/2017 г. на Районен съд – Плевен, както и в частта за отхвърляне на иска за вземане в размер на 306 лв. – нотариални такси. </w:t>
        <w:tab/>
        <w:br/>
        <w:tab/>
        <w:t xml:space="preserve"> </w:t>
        <w:tab/>
        <w:br/>
        <w:tab/>
        <w:t xml:space="preserve">В частта, с която въззивният съд е обезсилил първоинстанционното решение по отношение на договорните лихви по процесния договор, след констатация, че те не са предмет на заповедта за изпълнение, съответно на иска по чл. 422, ал. 1 ГПК, решението не е предмет на настоящото производство. </w:t>
        <w:tab/>
        <w:br/>
        <w:tab/>
        <w:t xml:space="preserve"> </w:t>
        <w:tab/>
        <w:br/>
        <w:tab/>
        <w:t xml:space="preserve">Касационният жалбоподател поддържа оплаквания за неправилност на атакувания съдебен акт, по изложени в жалбата фактически и правни съображения. Оспорва изводите на съда за нередовност на връчването на изпратената до ответницата нотариална покана. Твърди, че нотариусът е длъжностно лице, удостоверило връчване на нотариалната покана, като разписката, подписана от нотариуса е официален свидетелстващ документ, по отношение на който не е проведено надлежно оспорване по реда на чл. 193 ГПК. Счита се за неаргументирано становището на съда във връзка с валутния риск, както и по приложимостта на чл. 143 ЗЗП.</w:t>
        <w:tab/>
        <w:br/>
        <w:tab/>
        <w:t xml:space="preserve"> </w:t>
        <w:tab/>
        <w:br/>
        <w:tab/>
        <w:t xml:space="preserve">Искането за допускане на касационно обжалване е в хипотезата на чл. 280, ал. 1 ГПК по въпросите: 1. Налице ли е прехвърляне на целия валутен риск на кредитополучателя, при условие, че съгласно договора за кредит кредитополучателят поема валутния риск само при повишаване на курса на чуждестранната валута, което е написано на ясен и разбираем език и е налице поемане на валутен риск от страна на банката, т. к. курсът се е понижил след датата на усвояване на кредита; 2. На ясен и разбираем език ли е клаузата на чл. 23 от процесния договор, съобразявайки се с решенията на СЕС, че това включва да са посочени икономическите последици за кредитополучателя. Ако констатацията на съда е, че клаузата не е на ясен и разбираем език, какви са пороците на клаузата, които трябва да бъдат отстранени, за да се счита същата на ясен и разбираем език; 3. Какво означава, че потребителски договор не може да бъде изготвен предварително, в противен случай е неравноправен. В кой момент и от коя страна се изготвя договора. На кои клаузи от договора за кредит кредитополучателят може да влияе и на кои клаузи не може да влияе. В процесния случай, правилно ли е определил въззивният съд, че посочените от него клаузи са от категорията клаузи, върху кредитополучателят може да влияе, но не е имал тази възможност. 4. Информацията, която се предоставя на кандидат-кредитополучатели, за движението на курса на чуждестранната валута следва да бъде анализна историческите нива или трябва да бъда прогнозна информация. Какво означава една валута да е стабилна. В изложението по чл. 284, ал. 3, т. 1 ГПК се твърди, че по отношение на непадежиралите вноски по договора за кредит, отхвърлени поради липса на подпис на получател в разписката за връчване на нотариалната покана за предсрочна изискуемост, въззивното решение противоречи на практиката на ВКС – решение по т. д. № 2072/2015 г., определение по т. д. № 252/2018 г. и решение по т. д. № 2400/2015 г., I т. о. и определение по т. д. № 60255/2016 г., IV г. о. По изрично формулираните въпроси е посочена т. 3 на чл. 280, ал. 1 ГПК, а по въпрос № 1 и № 4 и т. 2 на чл. 280, ал. 1 ГПК. По отношение на последното допълнително селективно основание следва да се счете, че касаторът се позовава на посочени в самата жалба решения: С-186/16 и С-119/17 на СЕС, т. к. в изложението това основание не е конкретизирано.</w:t>
        <w:tab/>
        <w:br/>
        <w:tab/>
        <w:t xml:space="preserve"> </w:t>
        <w:tab/>
        <w:br/>
        <w:tab/>
        <w:t xml:space="preserve">Ответникът по касация не е заявил становище.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касатора, приема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 срещу подлежащ на касационно обжалване съдебен акт, при спазване на преклузивния срок по чл. 283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за безспорно сключването на процесния договор за потребителски кредит, с последващи споразумения към него, по силата на които кредиторът Юробанк и Еф Д. Б АД предоставя на кредитополучателите потребителски кредит за текущи нужди в швейцарски франкове, в размер на равностойността в швейцарски франкове на 46500 лв., по курс „купува” за швейцарския франк към лева на „Юробанк и Еф Д. Б” АД в деня на усвояването на кредита, съгл. Приложение № 1 от 07.04.2008 г. В мотивите към решението подробно са преценени отделни клаузи от договора и допълнителните споразумения към него, имащи значение за произнасяне по въведените в процеса възражения от ответницата и съответно относими към: валутата, в която следва да се погасява кредита, възможността банката да извършва погасяване на вноски от други сметки на кредитополучателите /в друга валута/, след служебно изкупуване на дължимите швейцарски франкове, последиците от предвидените превалутирания, както и към предпоставките за обявяване на кредита за предсрочно изискуем. Констатирано е, че с нотариална покана рег. № 3096/12.07.2017 г., изпратена до ответницата, банката е направила волеизявление за обявяване на кредита за предсрочно изискуем, като в разписката за връчване на поканата липсва подпис на получател, а на мястото, където би следвало да се положи подписа, е вписано „лично”.</w:t>
        <w:tab/>
        <w:br/>
        <w:tab/>
        <w:t xml:space="preserve"> </w:t>
        <w:tab/>
        <w:br/>
        <w:tab/>
        <w:t xml:space="preserve">При постановяване на атакувания съдебен акт решаващият състав на АС-В.То е преценил приетата по делото съдебно-икономическа експертиза, както и представените банкови извлечения и справки по процесния договор.</w:t>
        <w:tab/>
        <w:br/>
        <w:tab/>
        <w:t xml:space="preserve"> </w:t>
        <w:tab/>
        <w:br/>
        <w:tab/>
        <w:t xml:space="preserve">Въззивната инстанация е счела за основателно поддържаното от ответницата възражение за неравноправност на клаузите на договора, предвиждащи потребителят да носи валутния риск от промяна в курсовете на швейцарския франк към българския лев, като се е позовал на константна практика на ВКС – решение по т. д. № 3539/2015 г., ІІ ТО, решение по т. д. № 1599/2017 г., ІІ ТО, решение по т. д. № 2520/2016 г., ІІ ТО, съобразена с практиката на СЕС – Решение по дело С-186/16 и определение по дело С-119/17, във връзка с тълкуване на разпоредбите на чл. 3 – чл. 5 от Директива 93/13/ЕИО, транспонирани в чл. 143, чл. 145 и чл. 147 ЗЗП. Прието е, че в случая, ответницата има качеството на потребител, като липсват твърдения от страна на ищеца, и съответно доказателства оспорената клауза /чл. 23/ да е индивидуално уговорена. С оглед на бланкетния и декларативен характер на клаузата на чл. 23, с която кредитополучателят е приел да носи за своя сметка риска от предвиденото в договора превалутиране, апелативният съд е приел, че потребителят не е имал възможност да влияе върху съдържанието й, предвид факторите, посочени в чл. 145 ЗЗП. Решаващият съд е приел, че: основата на изчисляване размера на кредита е заложена в левове, преизчислени в равностойността на швейцарски франкове по курс „купува” на банката – чл. 1 от договора; в чл. 2, ал. 1 от договора е предвидено, че кредитът се усвоява в швейцарски франкове, но по блокирана сметка, като швейцарските франкове от блокираната сметка служебно се превалутират от банката в левове преди усвояването им, като реалното усвояване на кредита се извършва в левове – чл. 2, ал. 3; в чл. 6, ал. 2 от договора е посочено, че погасяването се извършва в швейцарски франкове, като в случай, че кредитополучателят не е осигурил такива, а има средства в лева или евро, банката служебно изкупува дължимите швейцарски франкове по курс „продава” за швейцарски франк към лева. Въз основа на това, изведен е извод, че освен възнаградителна лихва, в тежест на потребителя са наложени и допълнителни разходи, вследствие на поемане на валутния риск и валутните разлики, което оскъпява общите разходи по кредита, а последните трябва да са посочени от банката изрично и предварително оповестени. Съдът се е позовал и на изискването по чл. 147, ал. 1 ЗЗП за съставяне на клаузите по ясен и недвусмислен начин. В мотивите към решението е изтъкнато, че банката е дължала предоставяне на необходимата информация на потребителя за преценка на икономическите последици от сключването на договора. Непредоставянето на такава информация, нарушава принципа на добросъвестност, поради което клаузите на чл. 2, а и чл. 6, ал. 2 /последната включена в обхвата на поетия риск от превалутиране/, са приети за неравноправни, съответно неприложими, заместени с предвиденото в чл. 240, ал. 1 ЗЗД. Съдът е констатирал, че доколкото паричните средства са получени в национална валута, връщането им се следва в същата валута, по курс „продава” на банката в деня на получаването на паричните средства – 1 CHF/1, 2088 лв. </w:t>
        <w:tab/>
        <w:br/>
        <w:tab/>
        <w:t xml:space="preserve"> </w:t>
        <w:tab/>
        <w:br/>
        <w:tab/>
        <w:t xml:space="preserve"> Относно твърдяната от банката предсрочна изискуемост, апелативният съд е приел за доказано оспорването, направено от ответницата, във връзка с получаване на нотариалната покана. Съобразено е, че за връчването на нотариалните покани важат както правилата на чл. 569-576 и чл. 592 ГПК, така и общите правила на ГПК. Предвид разпоредбата на чл. 44, ал. 1, изр. 1 и изр. 4 ГПК, изискваща връчването на съобщения и книжа да бъде удостоверено както с подпис на връчител, така и с подпис на получател, и направената констатация за липса на подпис на получател в разписката, е изведен извод за недоказаност на твърдението за надлежно връчване на волеизявлението на банката за предсрочна изискеумост на кредита. </w:t>
        <w:tab/>
        <w:br/>
        <w:tab/>
        <w:t xml:space="preserve"> </w:t>
        <w:tab/>
        <w:br/>
        <w:tab/>
        <w:t xml:space="preserve">При зачитане на задължителните постановки в ТР № 8/02.04.2019 г. на ОСГТК на ВКС, апелативният съд е уважил предявения по реда на чл. 422, ал. 1 ГПК иск за вноските с настъпил падеж към датата на формиране на силата на присъдено нещо – 18012.65 лв., като за разликата до 29767, 02 CHF искът е отхвърлен като неоснователен. </w:t>
        <w:tab/>
        <w:br/>
        <w:tab/>
        <w:t xml:space="preserve"> </w:t>
        <w:tab/>
        <w:br/>
        <w:tab/>
        <w:t xml:space="preserve">За установено е счетено вземането за такса управление и администриране, начислени съобразно валидни договорни клаузи, а по отношение на претендираните нотариални такси е изведен извод, за включването им в таксите за администриране на просрочен кредит. </w:t>
        <w:tab/>
        <w:br/>
        <w:tab/>
        <w:t xml:space="preserve"> </w:t>
        <w:tab/>
        <w:br/>
        <w:tab/>
        <w:t xml:space="preserve">Настоящият съдебен състав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Формулираните от касационния жалбоподател въпроси са фактологически обусловени, а от друга страна, те са изведени въз основа на поддържани от банката доводи във въззивното производство, невъзприети от решаващия съдебен състав. Освен, че въпросите не притежават характеристиката на правни и не удовлетворяват основната предпоставка за достъп до касация /съгл. разясненията, дадени в т. 1 от ТР № 1/2009 г. на ОСГТК на ВКС/, отговорът на въпросите предпоставя проверка за законосъобразност и обоснованост на изведените от АС-В. Т правни изводи, която не попада в обхвата на селективната фаза. Съотнасянето на въпросите към правилността на съдебния акт е видно и от обосновката им в изложението по чл. 284, ал. 3, т. 1 ГПК. Независимо от горното, необходимо е да се отрази, че част от въпросите – например: на кои клаузи от договора за кредит кредитополучателят може да влияе и на кои не може да влияе; какво означава една валута да е стабилна, са абстрактни, а и по тях не е формирана обуславяща за изхода на спора правна воля на съда. </w:t>
        <w:tab/>
        <w:br/>
        <w:tab/>
        <w:t xml:space="preserve"> </w:t>
        <w:tab/>
        <w:br/>
        <w:tab/>
        <w:t xml:space="preserve">Неустановяването на основната селективна предпоставка съставлява достатъчно основание за недопускане на обжалването, без да съществува задължение за ВКС да се произнася до сочените от касатора допълнителни предпоставки, в какъвто смисъл е и цитираното ТР. Независимо от това, не би могло успешно да се твърди, че отговорът на формулираните въпроси /дори и след евентуалното им конкретизиране/ е от значение за точното прилагане на закона и за развитието на правото, предвид наличието на многобройна и непротиворечива практика на ВКС по идентични казуси, част от която е цитирана от апелативния съд, постановени при съобразяване на задължителното действие на относими решения на СЕС. </w:t>
        <w:tab/>
        <w:br/>
        <w:tab/>
        <w:t xml:space="preserve"> </w:t>
        <w:tab/>
        <w:br/>
        <w:tab/>
        <w:t xml:space="preserve">Що се отнася до реда за връчване на нотариални покани, както бе констатирано и по-горе, касаторът не е формулирал правен въпрос, но становището на апелативния съд по отношение приложимите изисквания за редовност на връчването е в съответствие тълкуването, дадено в т. 18 от Тълкувателно решение № 4/2013 от 18.06.2014 г. на ОСГТК на ВКС и с практиката на ВКС по чл. 290 ГПК, надлежно публикувана. В този акт на нормативно тълкуване изрично е прието, че кредиторът трябва да е уведомил длъжника за обявяване на предсрочната изискуемост на кредита. Отговорът на въпроса - доколко длъжникът е надлежно уведомен за предсрочната изискуемост на кредита, във всеки конкретен казус е в зависимост от ангажираните от ищеца доказателства, в чиято тежест е да установи, че волеизявлението за обявяване на кредита за предсрочно изискуем е достигнало до длъжника– кредитополучател. </w:t>
        <w:tab/>
        <w:br/>
        <w:tab/>
        <w:t xml:space="preserve"> </w:t>
        <w:tab/>
        <w:br/>
        <w:tab/>
        <w:t xml:space="preserve">По приложението на правилото на чл. 50 ЗННД, съгласно което, при връчване на нотариални покани от нотариус, респ. от натоварен от него служител, се спазват правилата на чл. 37-58 ГПК, практиката на ВКС е непротиворечива – така например, решение по т. д. № 62/2014 г., определение по ч. т.д. № 496/2009 г., I т. о., решение по т. д. № 1556/2015 г. и определение по ч. т.д. № 187/2011 г., II т. о. Тази практика е обобщена в принципния отговор, даден в решение по т. д. № 439/2017 г.: в производството по установителен иск, предявен по реда на чл. 422, ал. 1 ГПК, при оспорване на удостовереното връчване на документ, преценката за редовността на връчването се извършва от съда, след обсъждане на конкретните възражения; волеизявлението на банката, че счита вземанията по договора за предсрочно изискуеми, зависи от способа за уведомяване, избран от кредитора. С оглед на този способ, в случая са приложими императивните правила на чл. 37 и сл. ГПК, вкл. и чл. 44, ал. 1 ГПК, съгласно препращащата разпоредба на чл. 50 ЗННД, зачетена от решаващия съдебен състав.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98 от 09.05.2019 г. по в. т.д. № 71/2019 г. на Апелативен съд - В. Т,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