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№51/27.02.2020 по търг. д. №1927/2018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</w:t>
        <w:tab/>
        <w:br/>
        <w:tab/>
        <w:t xml:space="preserve"> </w:t>
        <w:tab/>
        <w:br/>
        <w:tab/>
        <w:t xml:space="preserve">гр. София, 27.02.2020 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пети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изслуша докладваното от съдия Г. И т. д. № 1927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от О. С, с която се иска изменение на определение № 283 от 30.09.2019 г. по т. д. 1927/18 г. по описа на Върховния касационен съд на Р България като върху присъденото възнаграждение от 2 000 лв се присъди и ДДС върху адвокатското възнаграждение. </w:t>
        <w:tab/>
        <w:br/>
        <w:tab/>
        <w:t xml:space="preserve"> </w:t>
        <w:tab/>
        <w:br/>
        <w:tab/>
        <w:t xml:space="preserve">Настоящият съдебен състав установи, че с определение № 327 от 30.05.2019 г. по настоящето дело, на основание чл. 288 от ГПК, не е допуснато до касационно обжалване решение № 85/25.4.2018 г. на Апелативен съд Варна, ТО, 3 състав и е осъден касационният жалбоподател „КМ Билдсистем“ ЕООД да заплати разноски на О. С в размер на 7 920, 13 лв. </w:t>
        <w:tab/>
        <w:br/>
        <w:tab/>
        <w:t xml:space="preserve"> </w:t>
        <w:tab/>
        <w:br/>
        <w:tab/>
        <w:t xml:space="preserve">С молба от 28.06.2019 г. „КМ Билдсистем“ ЕООД е направил възражение по чл. 78, ал. 5 от ГПК. С определение № 283 от 30.09.2019 г. съдът е намалил присъдените разноски и е отменил за разликата над 2 000 лв. до пълния размер. </w:t>
        <w:tab/>
        <w:br/>
        <w:tab/>
        <w:t xml:space="preserve"> </w:t>
        <w:tab/>
        <w:br/>
        <w:tab/>
        <w:t xml:space="preserve">Предвид произнасянето на съда по реда на чл. 248 от ГПК и изменение на присъдените разноски, не е допустимо производство по последващо изменение на определението по чл. 288 от ГПК. В този смисъл молбата е недопустима и следва да се остави без разглеждане.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 България, състав на Второ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 молба от 30.10.2019 г. за изменение на определение № 283 от 30.09.2019 г. </w:t>
        <w:tab/>
        <w:br/>
        <w:tab/>
        <w:t xml:space="preserve"> </w:t>
        <w:tab/>
        <w:br/>
        <w:tab/>
        <w:t xml:space="preserve">Определението може да се обжалва с частна жалба в 1 седмичен срок от връчването му на молителя О. С пред друг състав на Върховния касационен съд на Р България.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