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№8815/06.07.2020 по адм. д. №2620/2020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гл. ХІІ на АПК. </w:t>
        <w:tab/>
        <w:br/>
        <w:tab/>
        <w:t xml:space="preserve">Образувано е по касационна жалба на Д.П, представен от адв. М.Ф, срещу решение № 16/23.12.2019г. на Административен съд Русе по административно дело № 419/2019 г., с което изменен акт за установяване на общински публични вземания /АУОПВ/ № СУД002417/21.12.2018 г., издаден от длъжностно лице с функциите на орган по приходите от отдел КСМДТ – Дирекция „Местни данъци и такси“ при община Р., като са намалени размерите на лихвите върху задълженията з аданък върху недвижимите имоти и за такса за битови отпадъци. Търсената защита е срещу имплицитното отхвърляне на оспорването срещу акта относно определените с него задължения за ДНИ и за ТБО и за новоопределените задължения за лихви. Касаторът заявява общо трите категории основания за неправилност на съдебния акт по чл. 209, т. 3 АПК. Отправя упреци към процесуалната дейност на съда по преценка на писмените доказателствени средства и изразява несъгласие с правния му извод, че поземленият имот, с чието притежаване е обвързано определянето с АУОПВ на задължения за данък върху недвижимите имоти /ДНИ/ и за такса за битови отпадъци /ТБО/, не представлява земеделска земя, което да го дисквалифицира като обект на облагане с ДНИ и на задължения за ТБО. Според него от заключението на съдебно-техническата експертиза се установява, че имотът представлява земеделска земя с начин на трайно ползване пасище и не е провеждана процедура за промяна на предназначението по реда на ЗОЗЗ. Видът на имота следвал и от реституцията му на неговите праводатели по реда на ЗСПЗЗ и от начина на декларирането му пред звеното за местни приходи и отразяването в кадастралната карта и кадастралните регистри. Качеството на имота се определяло от легалната дефиниция на чл. 2 ЗСПЗЗ. Настоява на приложимостта на изключението по чл. 10, ал. 3 ЗМДТ, а не на общото правило на чл. 10, ал. 1 ЗМДТ, доколкото, макар и да попада в индустриалната зона на гр. Р., за имота не е одобряван ПУП и не е променяно предназначението му. Принадлежността на имота към територия, за която е одобрен общ устройствен план, не представлявало основание да се приеме, че не представлява земеделска земя. Касаторът разбира изискването на чл. 10, ал. 1 ЗМДТ имотът не само да е в строителните граници на населеното място, а и да има конкретни предназначение по чл. 8, т. 1 ЗУТ, което да е определено с подробен устройствен план. С позоваване на изключението по чл. 10, ал. 3 ЗМДТ и по препращането на чл. 64, ал. 1 ЗМДТ обосновава и недължимост на ТБО за имота. Иска отмяна на обжалваната част от решението и на съответната част от АУОПВ. Претендира деловодни разноски. </w:t>
        <w:tab/>
        <w:br/>
        <w:tab/>
        <w:t xml:space="preserve">С допълнителна молба касаторът е поискал да се отправи преюдициално запитване до Съда на Европейския съюз и е формулирал два въпроса. Искането не визира акт или разпоредба от акт на институция на Съюза - предмет на тълкуване от СЕС. </w:t>
        <w:tab/>
        <w:br/>
        <w:tab/>
        <w:t xml:space="preserve">Ответникът по касация директорът на Дирекция „Местни данъци и такси“ при община Р. отрича основателността на касационната жалба. Не изразява становище по искането за отправяне на преюдициално запитване.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Обсъждайки доводите на страните и извършвайки проверка на оспореното решение в обхвата на чл. 218 от АПК, съдът прие за установено следното: </w:t>
        <w:tab/>
        <w:br/>
        <w:tab/>
        <w:t xml:space="preserve">С оспорения пред Административен съд Русе АУОПВ са установени в тежест на Д.П публични общински вземания за отчетни периоди 2014 г. до 2018 г. – данък върху недвижимите имоти в общ размер 684.14 лева с лихви за забава 138.24 лева и такса за битови отпадъци в общ размер 900.20 лева с лихви за забава 210.79 лева. Задълженията са обвързани с притежаването от задълженото лице на 0.2619 ид. ч. от правото на собственост върху разположен в строителните граници на гр. Р. недвижим имот с нежилищно предназначение – имот № ПИ-22Р в м. „Сръбчето“ с площ 22 145 кв. м. Основа за определяне на ДНИ и на ТБО е данъчната оценка по приложение № 2 към ЗМДТ. </w:t>
        <w:tab/>
        <w:br/>
        <w:tab/>
        <w:t xml:space="preserve">С първоинстанционното решение е изменен АУОПВ, като са намалени размерите на лихвите върху ДНИ от 138.24 лева на 138.06 лева и на лихвите върху ТБО от 210.79 лева на 199.61 лева. </w:t>
        <w:tab/>
        <w:br/>
        <w:tab/>
        <w:t xml:space="preserve">По констатациите на съда жалбоподателят е собственик по реституция и чрез покупка на 22/84 или 0.2619 ид. ч. от недвижим имот, представляващ поземлен имот с идентификатор 63427.80.50, м. „Сръбчето“ /сега м. „Слатина“/ в Източна промишлена зона на гр. Р., целият с площ 22.145 дка, който е представлявал имот № 22 по кадастралния план от 1950 г., като имотът е деклариран от съсобственици по ЗМДТ. С позоваване на заключение на СТЕ е приел за установено, че имотът попада в строителните граници на населеното място и в границите на районите по заповедта на кмета на общината по чл. 63 ЗМДТ. </w:t>
        <w:tab/>
        <w:br/>
        <w:tab/>
        <w:t xml:space="preserve">Съдът е обвързал възникването на задължение за ДНИ със съпритежаването на недвижим имот. Отговорил е на довода, че имотът представлява земеделска земя, за която не е провеждана процедура за промяна на предназначението. Дефинирал е обекта на облагане с ДНИ по чл. 10, ал. 1 ЗМДТ. Според него имотът попада в строителните граници на населеното място, определени с общ градоустройствен план на гр. Р., одобрен с решение № 15/12.06.2008 г., което е пречка да се определи като земеделска земя по смисъла на чл. 2 ЗСПЗЗ, като основание за изключването му по чл. 10, ал. 3 ЗМДТ като обект на облагане. </w:t>
        <w:tab/>
        <w:br/>
        <w:tab/>
        <w:t xml:space="preserve">По спора за съществуването и размера на ТБО съдът е отграничил вземанията за данъци от тези такси и е обусловил възникването на задължението за такса от извършването на услугите. По установяванията му имотът е включен в границите на районите, определени със заповедта на кмета на общината по чл. 63, ал. 2 ЗМДТ. Взел е предвид, че такса е определена само за компонента поддържане на чистота на териториите за обществено ползване. Приел е, че таксата за тази услуга не се дължи само ако въобще не се предоставя от общината. В случая предоставянето на услугата се установявало от възлагането на обществена поръчка от общината и от заключението на вещото лице за изпълнение на дейностите по поръчката. </w:t>
        <w:tab/>
        <w:br/>
        <w:tab/>
        <w:t xml:space="preserve">Крайният извод е, че публичните вземания съществуват, като се дължи корекция само на размера на лихвите за забава. </w:t>
        <w:tab/>
        <w:br/>
        <w:tab/>
        <w:t xml:space="preserve">По искането за отправяне на преюдициално запитване. </w:t>
        <w:tab/>
        <w:br/>
        <w:tab/>
        <w:t xml:space="preserve">Искането е неоснователно. Нито съображенията му, нито въпросите за преюдициално запитване сочат разпоредба на Съюзното право, чието тълкуване от Съда на Европейския съюз, да е от значение за правилното решаване на делото от българския съд. Необосновано е заявеното от касатора очакване за тълкуване общо на правото на ЕС, а не на разпоредба от правото на Съюза или от акт на органите му /арг. чл. 267, § 1, б. „б“, пр. 2 ДФЕС и чл. 628 ГПК/.По жалбата срещу първоинстанционното решение.Обжалваният съдебен акт е правилен. </w:t>
        <w:tab/>
        <w:br/>
        <w:tab/>
        <w:t xml:space="preserve">Определянето на обекта на облагане с ДНИ е претърпяло развитие в нормативната уредба. Към момента на влизане в сила на ЗМДТ обектът на облагане в чл. 10, ал. 1 от закона се е определял чрез изчерпателно изброяване на обектите на облагане - разположените на територията на страната сгради, дворни места, парцели и застроените земеделски и горски земи за действително застроената площ и прилежащия й терен. С чл. 10, ал. 2 ЗМДТ са дисквалифицирани като обект на облагане земеделските земи и горите. След новелата на закона от ДВ бр. 106/2004 г., в сила от 01.01.2005 г. този подход е изоставен и е въведен с чл. 10, ал. 1 ЗМДТ принципът обект на облагане да са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от ЗУТ (ЗАКОН ЗА УСТРОЙСТВО НА ТЕРИТОРИЯТА). Предишната ал. 2 на чл. 10 става ал. 3 и съдържанието ѝ е за изключване от облагането на земеделските земи и горите, с изключение на застроените земи и то за действително застроената площ и прилежащия ѝ терен. С незначителни изменения уредбата от 2005 г. е съхранена. </w:t>
        <w:tab/>
        <w:br/>
        <w:tab/>
        <w:t xml:space="preserve">При действието на отменената уредба парцелите и дворните места са поземлени имоти в строителните граници на населените места. В съответствие с чл. 52 ППЗТСУ отм. парцелите се образуват със застроителен и регулационен план. Недвижимите имоти, включени в околовръстния полигон в границите на строителната част на населеното място, се смятат за дворни места /чл. 105, ал. 4 ППЗТСУ – отм. /. В съответствие с чл. 104, ал. 2 ППЗТСУ отм. строителните граници на населеното място се определят с общия градоустройствен план и се уточняват със застроителен и регулационен план, а за населени места без общ градоустройствен план – със ЗРП. Строителните граници на населените места без ОГП и ЗРП се установяват с околовръстен полигон – чл. 105, ал. 1 ППЗТСУ, отм. </w:t>
        <w:tab/>
        <w:br/>
        <w:tab/>
        <w:t xml:space="preserve">По действащото право територия на населеното място е селищната територия, обхваната от границите му (строителните му граници), определени с устройствен план, без да се включва землището - § 5, т. 6 от ДР на ЗУТ. Част от предмета на общия устройствен план е определянето на общата структура на територията, предмет на плана, и преобладаващото предназначение на съставните и структурните части - местоположението и границите на териториите за населени места и селищни образувания; земеделските територии; горските територии; териториите за природозащита; териториите за културно-историческа защита; нарушените територии за възстановяване и териториите със специално, с друго или със смесено предназначение; - чл. 106, т. 1 ЗУТ. С арг. от чл. 109, ал. 2, във вр. с ал. 1, т. т. 1 и 2 ЗУТ местоположението и границите на населените места и селищни образувания могат да се определят и с подробен устройствен план, като когато обхватът му е цялото населено място и/или землището му или цялото селищно образувание, има действието и на общ устройствен план за съответната територия. </w:t>
        <w:tab/>
        <w:br/>
        <w:tab/>
        <w:t xml:space="preserve">Съпритежавания от касатора поземлен имот е разположен в Източната промишлена зона на гр. Р. и е в обхвата на строителните граници на населеното място според общия му устройствен план. Това го отнася към първата хипотеза на чл. 10, ал. 1 ЗМДТ. Законът определя като обект на облагане поземлените, а не урегулираните поземлени имоти /срвн. § 5, т. т. 2 и 11 от ДР на ЗУТ/. Урегулиран е поземленият имот, за който с подробен устройствен план са определени граници, достъп до улица, път или алея, конкретно предназначение и режим на устройство. По хипотеза земеделските територии са извън границите на териториите на населените места. В този смисъл е и уредбата на чл. 2, т. 1 ЗСПЗЗ, която определя като земеделски земи предназначените за земеделско производство, които не се намират в границите на урбанизираните територии (населени места и селищни образувания), определени с подробен устройствен план, или с околовръстен полигон /последният не е част от позитивното право/. В случая водещо е ситуирането на имота в границите на урбанизираните територии, разбирани като селищна територия, обхваната от границите на населеното място /строителните граници/, определени с устройствен план /цитираната дефиниция на § 5, т. 6 от ДР на ЗУТ/. Отсъствието на подробен устройствен план при наличието на общ устройствен план, който обхваща и процесния имот, не обуславя извод, че имотът е извън урбанизираната територия и представлява земеделска земя. </w:t>
        <w:tab/>
        <w:br/>
        <w:tab/>
        <w:t xml:space="preserve">В контекста на горното ограничението по чл. 10, ал. 3 ЗМДТ е относимо към втората хипотеза на чл. 10, ал. 1 ЗМДТ - поземлените имоти извън строителните граници на населените места и селищните образувания, които според подробен устройствен план имат предназначението по чл. 8, т. 1 от ЗУТ (ЗАКОН ЗА УСТРОЙСТВО НА ТЕРИТОРИЯТА) и след промяна на предназначението на земята, когато това се изисква по реда на специален закон. За земеделските имоти промяната на предназначението е уредена в ЗОЗЗ /гл. V/. За имотите в строителните граници на населените места промяната на предназначението, изисквано по реда на специален закон, не е условие за възникване на данъчно задължение. </w:t>
        <w:tab/>
        <w:br/>
        <w:tab/>
        <w:t xml:space="preserve">Неотносими към материалните предпоставки за възникване на задължението за ДНИ са начинът на трайно ползване на имота, описанието му в подадените декларации по ЗМДТ /съдържанието на декларациите се проверява от служител на общинската администрация – чл. 18, ал. 1 ЗМДТ/. </w:t>
        <w:tab/>
        <w:br/>
        <w:tab/>
        <w:t xml:space="preserve">В съответствие с чл. 64, ал. 1 ЗМДТ задължени за ТБО са лицата по чл. 11 от закона. Касаторът е от категорията на субектите по чл. 11, ал. 1 ЗМДТ – собственик е на облагаем с данък недвижим имот. Не са оспорени констатациите на първостепенния съд, че общината е предоставила по отношение на имота услугата по поддържане на чистота на териториите за обществено ползване, както и изводите за правилно отнасяне на ставката на таксата за тази услуга към основата за определяне на размера на задължението. </w:t>
        <w:tab/>
        <w:br/>
        <w:tab/>
        <w:t xml:space="preserve">Определените с АУОПВ задължения на касационния жалбоподател съществуват. Установяването им с акта е правомерно, а отхвърлянето на оспорването срещу утежняващия административен акт, след редуциране на размера на лихвите – правилно. Касационният съдебен състав приема мотивите на първостепенния съд и препраща към тях /чл. 221, ал. 2, изр. 2 АПК/. </w:t>
        <w:tab/>
        <w:br/>
        <w:tab/>
        <w:t xml:space="preserve">Правилното съдебно решение следва да бъде оставено в сила. </w:t>
        <w:tab/>
        <w:br/>
        <w:tab/>
        <w:t xml:space="preserve">Воден от горното, Върховният административен съд, Първо отделениеРЕШИ:</w:t>
        <w:tab/>
        <w:br/>
        <w:tab/>
        <w:t xml:space="preserve">ОТХВЪРЛЯ ИСКАНЕТО на Д.П за отправяне на преюдициално запитване до Съда на Европейския съюз. </w:t>
        <w:tab/>
        <w:br/>
        <w:tab/>
        <w:t xml:space="preserve">ОСТАВЯ В СИЛА решение № 16/23.12.2019г. на Административен съд Русе по административно дело № 419/2019 г. в обжалваната част. </w:t>
        <w:tab/>
        <w:br/>
        <w:tab/>
        <w:t xml:space="preserve">Решението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