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№160/23.04.2014 по гр. д. №1395/2013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Геника Михайлова гр. д. № 1395 по описа за 2013 г.</w:t>
        <w:tab/>
        <w:br/>
        <w:tab/>
        <w:t xml:space="preserve"> </w:t>
        <w:tab/>
        <w:br/>
        <w:tab/>
        <w:t xml:space="preserve">С разпореждане от 28.03.2014 г. на основание чл. 275, ал. 2, вр. чл. 261, т. 4 ГПК докладчикът по делото е указал на жалбоподателя С. Б. Р. и му е дал 1-седмичен срок да представи документ за внесена държавна такса от 15. 00 лв, определена съгласно изискванията на чл. 18, ал. 2 от Тарифата за държавните такси, които се събират от съдилищата. Разпореждането е постановено, тъй като именуваната „молба-възражение” вх. № 2833/ 21.03.2014 г. по отношение на С. Б. Р. има характеристика на частна жалба. </w:t>
        <w:tab/>
        <w:br/>
        <w:tab/>
        <w:t xml:space="preserve"> </w:t>
        <w:tab/>
        <w:br/>
        <w:tab/>
        <w:t xml:space="preserve">Съобщението за разпореждането е връчено на С. Р. на 01.04.2014 г. Платежният документ не е представен до 08.04.2014 г, крайната дата на съдебния срок.</w:t>
        <w:tab/>
        <w:br/>
        <w:tab/>
        <w:t xml:space="preserve"> </w:t>
        <w:tab/>
        <w:br/>
        <w:tab/>
        <w:t xml:space="preserve">При тези мотиви и на основание чл. 275, ал. 2, вр. чл. 262, ал. 2, т. 2 ГПК, Върховният касационен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молба вх. № 2833/ 21.03.2014 г. по гр. д. № 1395/ 2013 г. по описа на Върховен касационен съд, Първо гражданско отделение на С. Б. Р. ЕГН [ЕГН] в частта, която има характеристика на частна жалба. </w:t>
        <w:tab/>
        <w:br/>
        <w:tab/>
        <w:t xml:space="preserve"> </w:t>
        <w:tab/>
        <w:br/>
        <w:tab/>
        <w:t xml:space="preserve">Определението може да се обжалва с частна жалба от С. Р. пред друг състав на Върховния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След влизане на разпореждането в сила делото да се докладва за администриране на молба вх. № 2833/ 21.03.2014 г. в частта, която има характеристика на молба от А. Б. Р. за отмяна на решение № 207/ 27.09.2013 г. по гр. д. № 1395/ 2013 г. по описа на Върховен касационен съд, Първо гражданско отделение.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