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№2578/09.03.2016 по адм. д. №1971/2015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реда на </w:t>
        <w:tab/>
        <w:br/>
        <w:tab/>
        <w:t xml:space="preserve">чл. 208 и сл. от Административнопроцесуалния кодекс (АПК)във вр. с </w:t>
        <w:tab/>
        <w:br/>
        <w:tab/>
        <w:t xml:space="preserve">чл. 40, ал. 1 от ЗДОИ (ЗАКОН ЗА ДОСТЪП ДО ОБЩЕСТВЕНА ИНФОРМАЦИЯ) (ЗДОИ). </w:t>
        <w:tab/>
        <w:br/>
        <w:tab/>
        <w:t xml:space="preserve">Образувано е по касационната жалба на директора на Агенция "Митници" срещу решение № 189 от 16.12.2014 г., постановено по адм. дело № 247/2014 г. по описа на Административния съд – К.. Касаторът навежда доводи за неправилност на решението като постановено в нарушение на материалния закон и необоснованост отм. енителни основания съобразночл. 209, т. 3 от АПК </w:t>
        <w:tab/>
        <w:br/>
        <w:tab/>
        <w:t xml:space="preserve">. Претендира неговата отмяна и присъждане на юрисконсултско възнаграждение. </w:t>
        <w:tab/>
        <w:br/>
        <w:tab/>
        <w:t xml:space="preserve">Ответната в производството страна - К. Ж. К., в писмен отговор взема становище за неоснователност на касационната жалба. Намира решението на първоинстанционния съд за правилно и законосъобразно и иска неговото оставяне в сила.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Поддържа становище за правилност и законосъобразност на първоинстанционното решение и счита, че същото следва да бъде оставено в сила. </w:t>
        <w:tab/>
        <w:br/>
        <w:tab/>
        <w:t xml:space="preserve">Върховният административен съд, състав на пето отделение, като обсъди данните по делото и доводите на страните, намира касационната жалба за процесуално допустима като подадена в срока почл. 211, ал. 1 от АПК </w:t>
        <w:tab/>
        <w:br/>
        <w:tab/>
        <w:t xml:space="preserve">, от надлежна страна и при наличие на правен интерес.Разгледана по същество е неоснователна. </w:t>
        <w:tab/>
        <w:br/>
        <w:tab/>
        <w:t xml:space="preserve">С обжалвания съдебен акт първоинстанционният съд отменя решение № 397/19.08.2014 г. на Директора на Агенция “Митници” [населено място] за отказ за предоставяне на достъп до обществена информация, постановено по заявление с рег. № ЗДОИ/14/08.08.2014 г. от К. Ж. К. и връща преписката на административния орган, на основание чл. 173 ал. 2 от АПК - за ново произнасяне, съобразно указанията, дадени в обстоятелствената част, като задължава административния орган да предостави исканата информация. </w:t>
        <w:tab/>
        <w:br/>
        <w:tab/>
        <w:t xml:space="preserve">За да постанови този резултат решаващият съд приема, че оспореният индивидуален административен акт е издаден от компетентен орган, в определената законовоизискуема форма, съдържа мотиви, не е налице допуснато съществено нарушение на административнопроизводствените правила, но не е спазен материалния закон и целта на същия. </w:t>
        <w:tab/>
        <w:br/>
        <w:tab/>
        <w:t xml:space="preserve">Поисканата информацията се отнася за броя на служителите по трудово правоотношение в специализираната администрация на Агенция "Митници" (без служителите в сектор "Приходи, пътни такси и разрешителен режим") в съответните структурни звена: Аерогара С., Митница Б., В., Л., П., С., С., Столична, Р. и Югозападна, останали на работа след влизане в сила на ПМС № 129/26.06.2014 г. (обн., ДВ, бр. 49 от 2012 г.) и приетия Класификатор на длъжностите в администрацията, както и длъжностите, които заемат и правното основание, въз основа на което е сключено или изменено трудовото правоотношение със същите. Прието е, че горната е налична, създадена по повод дейността на задължения субект и като такава е служебна обществена информация, предоставянето, на която е регламентирано в чл. 13 от ЗДОИ. Установено е, че конкретният случай не попада в хипотезата на изключенията на чл. 13, ал. 2 от ЗДОИ. По делото няма данни исканата информация да е класифицирана такава или друга защитена тайна в случаите, предвидени със закон, според разпоредбите на чл. 37 ал. 1 т. 1 от ЗДОИ. Според решаващия съд, позоваването от директора на чл. 37 ал. 1 т. 2 от ЗДОИ като основание за отказа е неправилно, още повече в случай на неизпълнение на процедурата по чл. 31 ал. 2 от ЗДОИ. Изложени са доводи за наличието на хипотезата на “надделяващ обществен интерес” по смисъла на § 1 т. 6 от ДР на ЗДОИ. </w:t>
        <w:tab/>
        <w:br/>
        <w:tab/>
        <w:t xml:space="preserve">Между страните липсва спор относно факти. Спорът е правен и се свежда до правилното тълкуване и прилагане на разпоредбите наЗДОИ. </w:t>
        <w:tab/>
        <w:br/>
        <w:tab/>
        <w:t xml:space="preserve">Настоящата инстанция намира, че въз основа изяснената по делото фактическа обстановка, първоинстанционният съд е постановил решението си изцяло в съответствие с приложимия материален закон. Изводите, че оспореният отказ за достъп до обществена информация е постановен в нарушение на материалноправните норми и целта наЗДОИ </w:t>
        <w:tab/>
        <w:br/>
        <w:tab/>
        <w:t xml:space="preserve">са законосъобразни и съответни на събраните по делото доказателства. </w:t>
        <w:tab/>
        <w:br/>
        <w:tab/>
        <w:t xml:space="preserve">Правилно е заключението на решаващия съд, че исканата информация е служебна обществена, по смисъла на чл. 11 от ЗДОИ, достъпът до която е свободен, съобразно чл. 13, ал. 1 от ЗДОИ. Съображенията на първоинстанционния съд се споделят изцяло от настоящата инстанция. </w:t>
        <w:tab/>
        <w:br/>
        <w:tab/>
        <w:t xml:space="preserve">Неоснователни са възраженията в касационната жалба досежно твърденията, че информацията за длъжностите и правното основание за изменение на правоотношенията няма да създаде впечатление за дейността на Агенция "Митници" или сведение относно нея, свързано с обществения живот. Именно с нормата на чл. 2 от ЗМ (ЗАКОН ЗА МИТНИЦИТЕ) (ЗМ) законодателят конкретно е регламентирал насочеността и функциите на дейността на митническите органи, като информацията за длъжностите в агенцията и правното основание за изменение на правоотношенията безспорно съставляват служебна обществена информация по чл. 11 от ЗДОИ за фактическото положение на защитените със сочената разпоредба обществени отношения. </w:t>
        <w:tab/>
        <w:br/>
        <w:tab/>
        <w:t xml:space="preserve">Развитите доводи от процесуалния представител на ответника в съдебно заседание по отношение на информацията и нейното обнародване, съдът намира за неоснователни, тъй като такива съображения не са изложени в обжалвания административен акт. Съгласно разпоредбата на чл. 12, ал. 4 от ЗДОИ, при искане на достъп до официална информация, която е обнародвана, съответният орган е длъжен да посочи изданието, в което тя е обнародвана, броя и датата на издаване. Видно от постановеното решение, горното не е сторено от административния орган, а е издаден отказ на различно правно основание. Посоченото обстоятелство би било основание за отказ за предоставяне на исканата информация с акт, постановен по предвидената за това форма и ред в закона. Излагането на мотиви за издаване на административния акт едва в касационното съдебно заседание е недопустимо.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При осъществяване на правораздавателната дейност на решаващия съд не са допуснати и твърдяните нарушения на производствените правила - доказателствения материал е анализиран поотделно и в неговата съвкупност, а всички доводи и възражения на страните са обсъдени и правилно преценени.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начл. 218, ал. 2 от АПК </w:t>
        <w:tab/>
        <w:br/>
        <w:tab/>
        <w:t xml:space="preserve">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Предвид изхода на спора по делото и заявеното от ответната страна искане за присъждане на направените по делото съдебни разноски, такива следва да й бъдат присъдени със съдебното решение. Настоящият състав приема, че в полза на К. следва да бъдат присъдени реално направените разноски за адвокатски хонорар в размер на 300 (триста) лева, видно от приложеното по делото пълномощно с отбелязване, че договореното възнаграждение е изцяло платено. </w:t>
        <w:tab/>
        <w:br/>
        <w:tab/>
        <w:t xml:space="preserve">По изложените съображения и на основание </w:t>
        <w:tab/>
        <w:br/>
        <w:tab/>
        <w:t xml:space="preserve">чл. 221, ал. 2, предл. 1-во АПК </w:t>
        <w:tab/>
        <w:br/>
        <w:tab/>
        <w:t xml:space="preserve">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ОСТАВЯ В СИЛА решение № 189 от 16.12.2014 г., постановено по адм. дело № 247/2014 г. по описа на Административния съд – К.. </w:t>
        <w:tab/>
        <w:br/>
        <w:tab/>
        <w:t xml:space="preserve">ОСЪЖДА Агенция “Митници” с адрес на управление и седалище в [населено място], [улица], да заплати на К. Ж. К. [ЕГН], сумата от 300 (триста) лева, представляващи разноски за заплатено възнаграждение за един адвокат.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