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№204/13.11.2019 по нак. д. №895/2019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София, 13 ноември 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двадесет и осми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участието на секретаря М. П</w:t>
        <w:tab/>
        <w:br/>
        <w:tab/>
        <w:t xml:space="preserve"> </w:t>
        <w:tab/>
        <w:br/>
        <w:tab/>
        <w:t xml:space="preserve">и в присъствието на прокурора К. И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895 по описа за 2019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двадесет и трета от НПК, образувано по протест на прокурор при Апелативна прокуратура-Пловдив против решение № 134 от 03.07.2019 г., постановено по внохд № 1/19 г. на Апелативния съд-Пловдив. Възразява се наличието на основанията по чл. 348, ал. 1, т. т.2 и 3 от НПК и се иска връщане на делото за увеличаване на наказанията на подсъдимия А. В. Ш.. Пред ВКС прокурорът при Върховната касационна прокуратура поддържа протеста по изложените в него съображения.</w:t>
        <w:tab/>
        <w:br/>
        <w:tab/>
        <w:t xml:space="preserve"> </w:t>
        <w:tab/>
        <w:br/>
        <w:tab/>
        <w:t xml:space="preserve"> Подсъдимият и защитата му – адв.А. А., не намират основание за удовлетворяване искането на прокурора.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1470/18 г. Окръжният съд-Пловдив осъдил подс.Ш. за две престъпления – за деяние, извършено на 20.04.2018 г. на основание чл. 199, ал. 1, т. 4, във връзка с чл. 198, ал. 1, чл. 29, ал. 1, б.”а” и чл. 54 от НК на 10 години лишаване от свобода и за деяние, извършено на 21.04.2018 г. на основание чл. 249, ал. 1 и чл. 54 от НК на 3 години лишаване от свобода и глоба в размер на 100 лева. На основание чл. 23, ал. 1 от НК ПОС определил едно общо наказание, а именно 10 години лишаване от свобода, като по реда на чл. 23, ал. 3 от НК присъединил към определеното общо наказание изцяло наказанието глоба в размер на 100 лева. Съдът постановил наказанието лишаване от свобода да се изтърпи при първоначален строг режим, а на основание чл. 59, ал. 1 от НК приспаднал времето, през което подсъдимият е бил задържан, считано от 08.05.2018 г. до влизане на присъдата в сила.</w:t>
        <w:tab/>
        <w:br/>
        <w:tab/>
        <w:t xml:space="preserve"> </w:t>
        <w:tab/>
        <w:br/>
        <w:tab/>
        <w:t xml:space="preserve"> С оспореното решение, във въззивно производство, образувано по жалба на подсъдимия, ПАС изменил присъдата, като намалил наложените му наказания, както следва: за престъплението по чл. 199, ал. 1, т. 4 от НК от 10 на 5 години лишаване от свобода, а за престъплението по чл. 249, ал. 1 от НК от 3 на 2 години лишаване от свобода; намалил съответно общото наказание, определено по реда на чл. 23, ал. 1 от НК от 10 на 5 години лишаване от свобода. В останалата част присъдата е потвърдена.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347, ал. 1 от НПК, Върховният касационен съд, първо наказателно отделение установи: </w:t>
        <w:tab/>
        <w:br/>
        <w:tab/>
        <w:t xml:space="preserve"> </w:t>
        <w:tab/>
        <w:br/>
        <w:tab/>
        <w:t xml:space="preserve"> Най-напред трябва да се вземе отношение по това, че претендираните касационни основания могат да бъдат изрично посочени в жалбата и/или протеста, но могат и да следват от изложените от подателя им съображения. В настоящият случай прокурорът е ангажирал основанието по чл. 348, ал. 1, т. 3 от НПК, но от заявеното от него следва, че той претендира, освен явна несправедливост на наложените на подсъдимия наказания и това, че въззивният съд е допуснал съществено нарушение на процесуалните правила, свързани с мотивите на съдебния акт. Поддържа се, че мотивите на ПАС разкриват вътрешно противоречие между съображенията му по оценка на доказателствата предопределящи изводите по фактите и съображенията му по оценката на част от същите, но вече свързано с индивидуализацията на наказанията. </w:t>
        <w:tab/>
        <w:br/>
        <w:tab/>
        <w:t xml:space="preserve"> </w:t>
        <w:tab/>
        <w:br/>
        <w:tab/>
        <w:t xml:space="preserve"> При изложеното ВКС прие, че е сезиран надлежно от прокурора относно основанията по чл. 348, ал. 1, т. т.2 и 3 от НПК.</w:t>
        <w:tab/>
        <w:br/>
        <w:tab/>
        <w:t xml:space="preserve"> </w:t>
        <w:tab/>
        <w:br/>
        <w:tab/>
        <w:t xml:space="preserve"> Протестът е основателен.</w:t>
        <w:tab/>
        <w:br/>
        <w:tab/>
        <w:t xml:space="preserve"> </w:t>
        <w:tab/>
        <w:br/>
        <w:tab/>
        <w:t xml:space="preserve"> Възражението за наличието на първо посоченото основание е основателно.</w:t>
        <w:tab/>
        <w:br/>
        <w:tab/>
        <w:t xml:space="preserve"> </w:t>
        <w:tab/>
        <w:br/>
        <w:tab/>
        <w:t xml:space="preserve"> Налице е твърдяното от прокурора противоречие в мотивите на въззивното решение. За да приеме за установени фактическите положения, отразени в мотивите на въззивното решение, с малка промяна в сравнение с приетите от първостепенния съд, ПАС подробно е анализирал всички елементи от доказателствената съвкупност, в това число и обясненията на подсъдимия. Първите съображения, на които прокурорът е поставил акцент (тези по доказателствата, свързано с фактите, приети за установени), значително подробни и конкретизирани (изложени на л. 6, л. 12, л. 14-17), указват, че съдът е приел за недостоверни обясненията на подсъдимия в частите за случайно намиране на вещите на пострадалия и непреднамерено ползване на чуждия платежен документ – въпроси все от кръга на тези по чл. 102 от НПК. По-нататък обаче, при извеждането на обстоятелствата, които смекчават отговорността на дееца, същият съд е отчел като такова по характер обстоятелство частичното признание на вината, депозирането на обяснения, които допринасят за разкриване на обективната истина по делото (виж л. 23). Очевидно е налице противоречие и не само. Съдът не се е ангажирал да посочи с коя част на кои обяснения, доколкото са налице няколко такива от страна на подсъдимия, той е допринесъл за разкриването и на кои обстоятелства от значение за правилното решаване на делото. А това е наложително, щом ПАС е приел, че тъкмо това смекчава отговорността на подсъдимия. В последният случай сме изправени пред декларативност, която е недопустима за мотивите на съдебния акт.</w:t>
        <w:tab/>
        <w:br/>
        <w:tab/>
        <w:t xml:space="preserve"> </w:t>
        <w:tab/>
        <w:br/>
        <w:tab/>
        <w:t xml:space="preserve"> Независимо от изложеното дотук, основателно е и възражението за явна несправедливост на наложеното наказание, макар и не по всички изложени в протеста съображения. Определянето на наказания на подсъдимия в размер на предвидения от закона минимум не е защитено убедително от съда.</w:t>
        <w:tab/>
        <w:br/>
        <w:tab/>
        <w:t xml:space="preserve"> </w:t>
        <w:tab/>
        <w:br/>
        <w:tab/>
        <w:t xml:space="preserve"> Съображенията на съда, свързани с ниската стойност на предмета на грабежа и на закупената стока от подсъдимия посредством чуждия платежен документ, доброволното връщане на част от отнетото при грабежа и интензитета на принудата, не се възприемат от настоящия състав на ВКС и търпят критика. </w:t>
        <w:tab/>
        <w:br/>
        <w:tab/>
        <w:t xml:space="preserve"> </w:t>
        <w:tab/>
        <w:br/>
        <w:tab/>
        <w:t xml:space="preserve">Първите две обстоятелства не са съществен фактор в комплекса обстоятелства относими към обема на отговорността на дееца, доколкото подсъдимият е отнел и ползвал всичко, което към този момент пострадалия е притежавал. Друг е въпросът, че минимално необходимото за съставомерност по члв. 249, ал. 1 от НК е само ползването на чуждия платежен документ, а за тази по чл. 199, ал. 1 от НК – установяването на фактическа власт върху отнетите вещи. По идентичен начин стоят нещата и с принудата ползвана от подсъдимия за преодоляване съпротивата на пострадалия. ПАС е приел, че след нанесения единствен удар в тилната част на главата, пострадалият е паднал на земята, изпуснал чантата си, от която са изпаднали намиращите се в нея предмети, включително портфейла с парите и документите. Иначе казано интензитета на нанесения единствен удар е значителен щом е повалил пострадалия на земята и достатъчен за постигане на преследваната от дееца цел – безпрепятствено установяване на фактическа власт върху вещи на същия. Що се отнася до връщането на част от отнетото, ПАС е игнорирал конкретните обстоятелства и причини, поради които подсъдимият е сторил това. Предвид утежненото съдебно минало на подсъдимия (извън това от значение за съставомерността по чл. 199, ал. 1, т. 4 от НК), съдът по същество не е съобразил, че макар и с давност назад той е търпял ефективно многократно наказания лишаване от свобода, в това число и такова в размер на четири години и те не са внесли коректив в поведението му.</w:t>
        <w:tab/>
        <w:br/>
        <w:tab/>
        <w:t xml:space="preserve"> </w:t>
        <w:tab/>
        <w:br/>
        <w:tab/>
        <w:t xml:space="preserve">Водим от изложеното и на основание чл. 354, ал. 3, т. 2, във връзка с чл. 355, ал. 1, т. 1 и 3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ИЗЦЯЛО решение № 134 от 03.07.2019 г., постановено по внохд № 1/19 г. на Апелативния съд-Пловдив и ВРЪЩА делото за ново разглеждане от друг състав на същия съд от стадия на съдебното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