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№229/21.04.2017 по търг. д. №819/2017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229</w:t>
        <w:tab/>
        <w:br/>
        <w:tab/>
        <w:t xml:space="preserve"> </w:t>
        <w:tab/>
        <w:br/>
        <w:tab/>
        <w:t xml:space="preserve">гр. София, 21.04.2017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ч. т.д.№819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на Г. Т. Б. срещу определение №286 от 31.01.2017 г. по в. ч.т. д.№16/2017 г. на ОС Варна. С посоченото определение е потвърдено разпореждане №45745 от 15.11.2016 г. по гр. д.№5759/2006 г. на РС Варна, с което е върната като просрочена частната жалба на Г. Т. Б. срещу определение от 24.08.2006 г. по гр. д.№5759/2006 г. на РС Варна за издаване на изпълнителен лист въз основа на запис на заповед по реда на чл. 237, б.„е” от ГПК отм. за сумата от 361.72 лв.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взе предвид, че преценката за процесуална допустимост на подадената при действието на разпоредбите на чл. 280, ал. 2 и чл. 274, ал. 4 от ГПК /ред., ДВ бр. 50/2015 г./, частна касационна жалба /депозирана от надлежна страна в предвидения от закона срок/ се извършва и съобразно съдържащите се в посочените разпоредби правила за достъп до касационен контрол, а в случая размерът на присъденото в производството по чл. 242 от ГПК отм. вземане от 361.72 лв. /във връзка с които е предприето производството по чл. 244 от ГПК отм. /, е под установения в чл. 280, ал. 2 от ГПК минимален праг за допустимост на касационното обжалване - 20 000 лв., намира, че частната касационна жалба се явява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Г. Т. Б. срещу определение №286 от 31.01.2017 г. по в. ч.т. д.№16/2017 г. на ОС Варна.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Търговска колегия при ВКС в едноседмичен срок от връчването.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