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№97/24.03.2016 по търг. д. №1605/2015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Гр. София 24.03.2016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и първи март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ТОТКА КАЛЧЕВА 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 № 1605/2015 година,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частна жалба вх.№10568/05.10.2015г. от Ц. А. Г. срещу определение №250/07.09.2015г. по т. д.№1605/2015г. на ВКС на РБ, ТК, І т. о., за връщане на частни жалби вх.№8531/23.07.2015г. и жалба вх.№9068/10.08.2015г. на ВКС срещу определение №228 от 16.07.2015г. по т. д.№1605/2015г. на ВКС на РБ, ТК, І т. о.</w:t>
        <w:tab/>
        <w:br/>
        <w:tab/>
        <w:t xml:space="preserve"> </w:t>
        <w:tab/>
        <w:br/>
        <w:tab/>
        <w:t xml:space="preserve"> Частната жалбоподателка е депозирала и декларация, в която е обективирала молба да бъде освободена от заплащане на дължимата държавна такса на основание чл. 83 ал. 2 от ГПК. С определение от 16.12.2015г. е оставена без уважение молбата на Ц. А. Г. за освобождаване от заплащане на държавни такси в производството по т. д.№1605/15г. на ВКС на РБ, ТК. Със същото определение на жалбоподателката е указано в едноседмичен срок от съобщението да внесе по сметка на ВКС на РБ държавна такса в размер на 15 лева и да представи доказателства за това. </w:t>
        <w:tab/>
        <w:br/>
        <w:tab/>
        <w:t xml:space="preserve"> </w:t>
        <w:tab/>
        <w:br/>
        <w:tab/>
        <w:t xml:space="preserve"> Съобщение за указанията е връчено лично на Ц. А. Г. на 23.12.2015г., като до настоящия момент същата не е изпълнила дадените й указания.</w:t>
        <w:tab/>
        <w:br/>
        <w:tab/>
        <w:t xml:space="preserve"> </w:t>
        <w:tab/>
        <w:br/>
        <w:tab/>
        <w:t xml:space="preserve"> С оглед на това, че частната жалбоподателка не е изпълнила в срок дадените указания за внасянето на дължимата държавна такса, подадената от нея частна жалба следва да бъде върната.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 </w:t>
        <w:tab/>
        <w:br/>
        <w:tab/>
        <w:t xml:space="preserve"/>
        <w:tab/>
        <w:br/>
        <w:tab/>
        <w:t xml:space="preserve"> ВРЪЩА частна жалба вх.№10568/05.10.2015г. на Ц. А. Г. срещу определение №250/07.09.2015г. по т. д.№1605/2015г. на ВКС на РБ, ТК, І т. о.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частната жалбоподателка.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