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№109/21.05.2021 по търг. д. №1824/2020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гр. София, 21.05.2021 год.В. К. С на Р. Б, Търговска колегия, Второ отделение, в закрито заседание на единадесети май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К. Н т. д. N 1824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ВКС констатира, че с определение от 20.10.2020г. по конституционно дело № 9/2020г. Конституционният съд на Р. Б е допуснал разглеждане по същество на искане на Висшия адвокатски съвет за установяване на противоконституционност на пар. 7 и 8 от ПЗР на ЗИД на ЗБН /обн. ДВ бр. 22 от 2018г., доп. ДВ бр. 33 от 2019г., в сила от 19.04.2019г/. Посочените разпоредби са от значение относно изхода на спора по настоящото дело за относителна недействителност на прихващане от 20.10.2014г. на основание чл. 59, ал. 5 ЗБН, тъй като предвиждат, че чл. 59, ал. 5-7 се дава обратна сила и се прилагат от дата преди прихващането, а именно от 20.06.2014г., с оглед на което производството по делото следва да бъде спряно на основание чл. 229, ал. 1, т. 6 ГПК до произнасянето на Конституционния съд. </w:t>
        <w:tab/>
        <w:br/>
        <w:tab/>
        <w:t xml:space="preserve"> </w:t>
        <w:tab/>
        <w:br/>
        <w:tab/>
        <w:t xml:space="preserve">Водим от горните съображения, Върховният касационен съд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СПИРА, на основание чл. 229, ал. 1, т. 6 ГПК, производството по т. д. № 1824/2020г. на ВКС, II ТО, до произнасянето на Конституционния съд на Р. Б по конституционно дело № 9 / 2020г.</w:t>
        <w:tab/>
        <w:br/>
        <w:tab/>
        <w:t xml:space="preserve"> </w:t>
        <w:tab/>
        <w:br/>
        <w:tab/>
        <w:t xml:space="preserve"> ОПРЕДЕЛЕНИЕТО за спиране може да се обжалва от страните с частна жалба пред друг тричленен състав на ВКС в едноседмичен срок от съобщението му. </w:t>
        <w:tab/>
        <w:br/>
        <w:tab/>
        <w:t xml:space="preserve"> </w:t>
        <w:tab/>
        <w:br/>
        <w:tab/>
        <w:t xml:space="preserve"> ПРЕПИС от определението да се връчи на страните, на основание чл. 7 ал. 2 ГПК.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