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№96/18.03.2015 по гр. д. №4345/2014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София, 18.03.2015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седемнадесети март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ЧАНАЧЕВЧЛЕНОВЕ: ДИАНА ХИТОВА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4345/2014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Постъпило е искане вх.№2132/20.02.2015 г. от В. Д. Ц., чрез пълномощника му адв.М. Д. с искане за изменение на определение № 1239/01.12.2014 г. постановено по настоящото дело, като му бъдат присъдени направените разноски в касационното производство за адвокатско възнаграждение.</w:t>
        <w:tab/>
        <w:br/>
        <w:tab/>
        <w:t xml:space="preserve"> </w:t>
        <w:tab/>
        <w:br/>
        <w:tab/>
        <w:t xml:space="preserve">Ответникът по молбата Комисия за отнемане на незаконно придобито имущество, в писмен отговор, подаден чрез процесуален представител главен инспектор П. М. изразява становище за недопустимост на искането, тъй като е подадено извън законовия срок.</w:t>
        <w:tab/>
        <w:br/>
        <w:tab/>
        <w:t xml:space="preserve"> </w:t>
        <w:tab/>
        <w:br/>
        <w:tab/>
        <w:t xml:space="preserve">ВКС на РБ, състав на ІІІ г. о. констатира следното:</w:t>
        <w:tab/>
        <w:br/>
        <w:tab/>
        <w:t xml:space="preserve"> </w:t>
        <w:tab/>
        <w:br/>
        <w:tab/>
        <w:t xml:space="preserve">С определение № 1239/01.12.2014 г. не е допуснато касационно обжалване по касационна жалба, подадена от Комисията за отнемане на незаконно придобито имущество на решение № 343/26.02.2014 г. по гр. д.№3663/2013 г. на Апелативен съд-София. Този съдебен акт е необжалваем и като такъв не се съобщава на страните. Съгласно чл. 248 ал. 1 ГПК в едномесечен срок от постановяването му страната може да поиска допълването или изменянето му в частта за разноските. Искането е постъпило на 20.02.2015 г. след изтичане на срока, който е преклузивен и поради това е недопустимо. Следва същото да бъде оставено без разглеждане.</w:t>
        <w:tab/>
        <w:br/>
        <w:tab/>
        <w:t xml:space="preserve"> </w:t>
        <w:tab/>
        <w:br/>
        <w:tab/>
        <w:t xml:space="preserve">По изложените съображения ВКС състав на ІІІ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искане</w:t>
        <w:tab/>
        <w:br/>
        <w:tab/>
        <w:t xml:space="preserve"/>
        <w:tab/>
        <w:br/>
        <w:tab/>
        <w:t xml:space="preserve">вх.№2132/20.02.2015 г. от В. Д. Ц., за изменение на определение № 1239/01.12.2014 г. постановено по настоящото дело в частта за разноските.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подлежи на обжалване пред друг тричленен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