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№5842/13.12.2024 по гр. д. №2494/2024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5842</w:t>
        <w:tab/>
        <w:br/>
        <w:tab/>
        <w:t xml:space="preserve"/>
        <w:tab/>
        <w:br/>
        <w:tab/>
        <w:t xml:space="preserve">гр. София, 13.12.2024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девети декември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2494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„Сарно“ЕООД против решение № 25/27.03.2024 г., постановено по гр. д.№ 22/2024 г. от състав на АС – Бургас.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обезсилил първоинстанционно решение, с което съдът се е произнесъл по иск с правно основание чл.59 ЗЗД и е прекратил производството по същия.</w:t>
        <w:tab/>
        <w:br/>
        <w:tab/>
        <w:t xml:space="preserve"/>
        <w:tab/>
        <w:br/>
        <w:tab/>
        <w:t xml:space="preserve"> Съдът е приел, че съставът на чл. 59 от ЗЗД е субсидиарен. Изключено е той да се основава на някоя от визираните в чл. 55 от ЗЗД хипотези на разместване на блага. Всички фактически твърдения на ищеца имат отношение към т. нар. „престанционна кондикция“ по чл. 55, ал. 1, ал. предл. І и ІІ от ЗЗД, във връзка с която са били разгледани първите два иска, отхвърлени с влязло в сила решение. Въз основа на горното съдът е приел, че първоинстанционният съд се е произнесъл по недопустим иск по чл. 59 от ЗЗД. Предвид горното, съдът е приел, че решението в тази част следва да бъде обезсилено, а производството – прекратено. </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ал.1, т.1 и ал.2 ГПК.</w:t>
        <w:tab/>
        <w:br/>
        <w:tab/>
        <w:t xml:space="preserve"/>
        <w:tab/>
        <w:br/>
        <w:tab/>
        <w:t xml:space="preserve"> Сочи се правен въпрос, в случаите, в които е установена със сила на пресъдено нещо липсата на договорни и преддоговорни отношения между страните, допустим ли е иск с правно основание чл.59 ЗЗД, при твърдение за наличие на разместване на материални блага.</w:t>
        <w:tab/>
        <w:br/>
        <w:tab/>
        <w:t xml:space="preserve"/>
        <w:tab/>
        <w:br/>
        <w:tab/>
        <w:t xml:space="preserve"> Сочи се противоречие с приетото с решение № 97/2014 г., постановено по гр. д.№ 1250/2011 г. на ІV гр. отд. на ВКС, решение № 220/2019 г. по гр. д.№ 3044/2017 г., ІV гр. отд. и р. № 56/2017 г. по гр. д.№ 2882/2016 г. на ІV гр. отд. на ВКС.</w:t>
        <w:tab/>
        <w:br/>
        <w:tab/>
        <w:t xml:space="preserve"/>
        <w:tab/>
        <w:br/>
        <w:tab/>
        <w:t xml:space="preserve"> С цитираните решения се приема, че бъдещите намерения за осъществяване на някаква дейност не представляват каквото и да е основание по смисъла на чл.55 ЗЗД. Същите не са юридически факти, въз основа на които да се създаде правоотношение, от което да възникне неоснователно обогатяване. Поради това неосъществяването на бъдещи намерения може да доведе до неоснователно обогатяване само и единствено в хипотезата чл.59 ЗЗД при преминаване на блага от имуществото на едно лице в имуществото на друго, било пряко, било опосредено.</w:t>
        <w:tab/>
        <w:br/>
        <w:tab/>
        <w:t xml:space="preserve"/>
        <w:tab/>
        <w:br/>
        <w:tab/>
        <w:t xml:space="preserve"> Касационното обжалване следва да се допусне, за проверка противоречие на възприетото от въззивния съд относно недопустимостта на предявения в горната хипотеза иск с правно основание чл.59 ЗЗД, с цитираната съдебна практика на ВКС.</w:t>
        <w:tab/>
        <w:br/>
        <w:tab/>
        <w:t xml:space="preserve"/>
        <w:tab/>
        <w:br/>
        <w:tab/>
        <w:t xml:space="preserve"> На касатора следва да се укаже да внесе държавна такса по сметката на ВКС в размер на 668 лева.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25/27.03.2024 г., постановено по гр. д.№ 22/2024 г. от състав на АС – Бургас.</w:t>
        <w:tab/>
        <w:br/>
        <w:tab/>
        <w:t xml:space="preserve"/>
        <w:tab/>
        <w:br/>
        <w:tab/>
        <w:t xml:space="preserve"> Указва на касатора да внесе държавна такса по сметката на ВКС в размер на 668 лева, като в едноседмичен срок представи доказателства за внасянето, в противен случай касационното обжалване ще бъде прекратено.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