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№553/11.04.2011 по гр. д. №310/2011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553</w:t>
        <w:tab/>
        <w:br/>
        <w:tab/>
        <w:t xml:space="preserve"> </w:t>
        <w:tab/>
        <w:br/>
        <w:tab/>
        <w:t xml:space="preserve">гр.С., 11.04.2011 г. </w:t>
        <w:tab/>
        <w:br/>
        <w:tab/>
        <w:t xml:space="preserve"> </w:t>
        <w:tab/>
        <w:br/>
        <w:tab/>
        <w:t xml:space="preserve">Върховният касационен съд на Р.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</w:t>
        <w:tab/>
        <w:br/>
        <w:tab/>
        <w:t xml:space="preserve"> </w:t>
        <w:tab/>
        <w:br/>
        <w:tab/>
        <w:t xml:space="preserve">на шести април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като разгледа докладваното от Борис Илиев гр. д.№ 310/ 2011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искане на С. М. Е. за допускане на касационно обжалване на въззивно решение на С. градски съд от 09.07.2010 г. по гр. д.№ 4901/ 2010 г. С него, след като е отменено изцяло решение на С. районен съд по гр. д.№ 36707/ 2009 г., са отхвърлени предявените от жалбоподателката против 54 С. „С. И. Р.” –[населено място] искове за признаване за незаконно и отмяна на уволнението на С. Е., извършено със заповед № 1067/ 01.06.2009 г., за възстановяване на заеманата преди уволнението длъжност „помощник – директор по административно-стопанската дейност” и за заплащане на обезщетение за оставане без работа в размер 6 096 лв.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твърди от жалбоподателката, че въззивният съд е постановил решението си давайки неправилен отговор на материалноправните въпроси 1.може ли директорът на училището да променя по свое усмотрение изискванията за заемане на длъжност в училището или това може да става само при условията на ЗНП, ППЗНП и Наредба № 3 от 2008 г. и 2.може ли съдът да не приложи разпоредбите на валиден колективен трудов договор, предвиждащи закрила за работници и служители при уволнение по чл. 328 ал. 1 т. 6 от КТ. Поставя и процесуалноправният въпрос може ли съдът да не зачете действието на КТД вън от производството по чл. 59 и чл. 60 от КТ, прогласявайки недействителност на негова клауза по конкретен трудов спор. Освен това касаторът поддържа, че има противоречива практика по въпроса дали директорът на училището е компетентен да утвърждава длъжностни характеристики на служители в училището, като се позовава на решение на СГС по гр. д.№ 1157/ 2010 г. На тези основания моли за допускане на касационно обжалване на решението. </w:t>
        <w:tab/>
        <w:br/>
        <w:tab/>
        <w:t xml:space="preserve"> </w:t>
        <w:tab/>
        <w:br/>
        <w:tab/>
        <w:t xml:space="preserve">Ответникът по касация 54 С. „С. И. Р.” –[населено място] оспорва жалбата и моли касационното обжалване да не бъде допуснато, като поддържа, че не са налице основанията по чл. 280 ал. 1 от ГПК.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направените доводи и прецени материалите по делото, намира жалбата за допустима, а искането за допускане на касационно обжалване – за неоснователно.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 за установено от фактическа страна, че ответникът и жалбоподателката са били в трудово правоотношение, възникнало от трудов договор, прекратено със заповед от 01.06.2009 г. Преди да издаде тази заповед, директорът на училището е утвърдил нова длъжностна характеристика за длъжността „помощник – директор по административно-стопанската дейност”, в която е въвел изискване за висше образование, специалност „Счетоводство и контрол”. Тъй като ищцата не е притежавала такова образование, трудовото й правоотношение е прекратено на основание чл. 328 ал. 1 т. 6 от КТ. В мотивите на обжалваното решение е изведено, че съдът не може да контролира дейността на работодателя по промяна на изискванията за длъжността и че това е суверенно право на директора на училището. По спора дали към момента на уволнението ищцата се е ползвала от закрилата по чл. 333 ал. 4 от КТ съдът е приел, че такава не е допустимо да се уговаря в КТД за уволнението по чл. 328 ал. 1 т. 6 от КТ, тъй като законът предвижда възможност в КТД да се уговори закрила само при уволнение поради съкращаване на щата и при намаляване на обема на работата. </w:t>
        <w:tab/>
        <w:br/>
        <w:tab/>
        <w:t xml:space="preserve"> </w:t>
        <w:tab/>
        <w:br/>
        <w:tab/>
        <w:t xml:space="preserve">При така изложените фактически и правни изводи на въззивния съд, поставените от касатора правни въпроси обуславят въззивното решение. Те обаче нямат значение за точното прилагане на закона и развитието на правото, нито се решават противоречиво от съдилищата. </w:t>
        <w:tab/>
        <w:br/>
        <w:tab/>
        <w:t xml:space="preserve"> </w:t>
        <w:tab/>
        <w:br/>
        <w:tab/>
        <w:t xml:space="preserve">Въпросът може ли директорът на училището да променя по свое усмотрение изискванията за заемане на длъжност в училището или това може да става само при условията на ЗНП, ППЗНП и Наредба № 3 от 2008 г., няма значение за точното прилагане на закона и развитието на правото.</w:t>
        <w:tab/>
        <w:br/>
        <w:tab/>
        <w:t xml:space="preserve"/>
        <w:tab/>
        <w:br/>
        <w:tab/>
        <w:t xml:space="preserve">Наредба № 3 от 18.02.2008 г. за нормите за преподавателска работа и реда за определяне на числеността на персонала в системата на народната просвета няма отношение към този въпрос, тъй като уволнението не е извършено поради намаляване на числеността на персонала. Тази наредба би имала значение за уволнение, извършено поради съкращаване на щата, обаче дори и в тази хипотеза работодателят е суверен по отношение на преценката дали да намали числеността и кой щат да съкрати. По този въпрос има формирана задължителна практика на ВКС (решение на ВКС, ІV г. о. № 416/ 12.07.2010 г. по гр. д.№ 531/ 2009 г.), според което за директорът на училището не важат ограниченията по чл. 10 ал. 1 и чл. 12 ал. 4 от посочената наредба дори и в случаите, когато съкращава щата в хода на учебната година. Не може да е различно разрешението и в случаите, когато щатът не се съкращава, а само се променят изискванията за заемане на длъжността – в този случай, на по-голямо основание, ограниченията по Наредба № 3 не важат. Няма забрана за директора, като представител на училището – работодател, да утвърждава изискванията за заемане на дадена длъжност, нито в чл. 40 от ЗНП, нито в чл. 117 от ППЗНП. Законът е ясен и не се налага намесата на ВКС за създаване на практика по прилагането му или за изменение на установената практика. </w:t>
        <w:tab/>
        <w:br/>
        <w:tab/>
        <w:t xml:space="preserve"> </w:t>
        <w:tab/>
        <w:br/>
        <w:tab/>
        <w:t xml:space="preserve">Въпросите може ли съдът да не приложи разпоредбите на валиден колективен трудов договор, предвиждащи закрила за работници и служители при уволнение по чл. 328 ал. 1 т. 6 от КТ и допустимо ли е това да стане вън от производството по чл. 59 и чл. 60 от КТ, също са разрешени със задължителна практика. Става въпрос за решение на ВКС, ІV г. о. № 127/ 10.05.2010 г. по гр. д.№ 213/ 2009 г., постановено по реда на чл. 291 от ГПК (съгласно Тълкувателно решение № 1 от 19.02.2010 г. на ОСГТК на ВКС то се явява задължително за съдилищата). Със същото е изяснено, че с КТД на работодателя не могат да се възлагат различни от изрично предвидените в закона ограничения при уволнение по чл. 328 от КТ. В това тълкуване е утвърдена последователната практика, че в КТД не може да бъде уговаряна закрила при уволнение, извън тези основания, към които правилото на чл. 333 ал. 4 от КТ изрично препраща. Тази закрила не се прилага за уволнение по чл. 328 ал. 1 т. 6 от КТ. Ако такава е предвидена, в тази част КТД е недействителен поради противоречието му с КТ. Недействителността може да се констатира по възражение на коя да е от страните в процеса по оспорване на законността на уволнението, а не само в нарочно производство по чл. 60 от КТ. </w:t>
        <w:tab/>
        <w:br/>
        <w:tab/>
        <w:t xml:space="preserve"> </w:t>
        <w:tab/>
        <w:br/>
        <w:tab/>
        <w:t xml:space="preserve">По въпроса дали директорът на училището е компетентен да утвърждава длъжностни характеристики на служители в училището не се установява да има противоречива практика. Решение на СГС по гр. д.№ 1157/ 2010 г., на което се позовава жалбоподателката, не е влязло в сила, а въз основа на невлезли в сила решения извод за противоречия в практиката не може да се направи (ТР № 1 от 19.02.2010 г. на ОСГТК на ВКС). Освен това цитираното решение на СГС се основава на Инструкция № 2 от 29.07.1994 г. за изискванията за заемане на длъжността учител или възпитател съобразно придобитото образование, професионална квалификация и правоспособност, който нормативен акт не е относим в случая. Ищцата не е заемала длъжност „учител” или „възпитател”, а е работила на длъжност „помощник директор АСД”, за която Инструкция № 2 не предвижда изисквания. </w:t>
        <w:tab/>
        <w:br/>
        <w:tab/>
        <w:t xml:space="preserve"> </w:t>
        <w:tab/>
        <w:br/>
        <w:tab/>
        <w:t xml:space="preserve">Следователно не е налице и основанието по чл. 280 ал. 1 т. 2 от ГПК и няма основания обжалваното решение да бъде допуснато до касационен контрол. Искането в тази насока следва да бъде отхвърлено, като на ответника по касация бъдат присъдени направените и поискани разноски в производството.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на С. градски съд от 09.07.2010 г. по гр. д.№ 4901/ 2010 г. </w:t>
        <w:tab/>
        <w:br/>
        <w:tab/>
        <w:t xml:space="preserve"> </w:t>
        <w:tab/>
        <w:br/>
        <w:tab/>
        <w:t xml:space="preserve">ОСЪЖДА С. М. Е. да заплати на 54 С. „С. И. Р.” –[населено място] сумата 600 лв (шестстотин лева) разноски по касационното производство.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