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№5562/02.12.2024 по гр. д. №1400/2024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5562/02.12.2024 г.Върховен касационен съд на Република България, Гражданска колегия, Четвърто отделение в закритото съдебно заседание на двадесет и седми ноември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Бисера Максимоваразгледа докладваното от съдия Михайлова гр. д. № 1400 по описа за 2024 г.</w:t>
        <w:tab/>
        <w:br/>
        <w:tab/>
        <w:t xml:space="preserve"/>
        <w:tab/>
        <w:br/>
        <w:tab/>
        <w:t xml:space="preserve">Производството е по чл. 83, ал. 2 ГПК.</w:t>
        <w:tab/>
        <w:br/>
        <w:tab/>
        <w:t xml:space="preserve"/>
        <w:tab/>
        <w:br/>
        <w:tab/>
        <w:t xml:space="preserve">Касаторът К. В. К. иска съдът да го освободи от такса, защото не разполага с достатъчно средства. Към молбата си е представил декларация, че неговите и на съпругата му месечни доходи са само от пенсии, съответно 1 242.42 лв. и 2 028.55 лв., че притежават земеделска земя 0.800 дка, че съпругата му е едноличен собственик на „Калдъръмова 59“ ЕООД с капитал 10.00 лв. и че тя има заболяване, разходите по лечението на което са 38.00 лв. месечно. Представил е и две удостоверения от НОИ, засвидетелстващи, че такива са пенсиите на касатора и на неговата съпруга. Според декларираното, двамата нямат други активи.</w:t>
        <w:tab/>
        <w:br/>
        <w:tab/>
        <w:t xml:space="preserve"/>
        <w:tab/>
        <w:br/>
        <w:tab/>
        <w:t xml:space="preserve">Настоящият състав намира, че касаторът не разполага с достатъчно средства, за да се натовари с плащането на таксата по чл. 18, ал. 2, т. 2 Тарифата за държавните такси по ГПК, поставена в негова тежест с определение № 4689/17.10.2024 г. по настоящото дело, но също така намира, че материалното му положение допуска да я понесе частично.</w:t>
        <w:tab/>
        <w:br/>
        <w:tab/>
        <w:t xml:space="preserve"/>
        <w:tab/>
        <w:br/>
        <w:tab/>
        <w:t xml:space="preserve">При тези мотиви, съдътОПРЕДЕЛИ :ОСВОБОЖДАВА К. В. К. от таксата над размера 2 000.00 лв. до размера 11 154.09 лв. – на основание чл. 83, ал. 2 ГПК.</w:t>
        <w:tab/>
        <w:br/>
        <w:tab/>
        <w:t xml:space="preserve"/>
        <w:tab/>
        <w:br/>
        <w:tab/>
        <w:t xml:space="preserve">Дава нов 1-седмичен срок от съобщението, в който касаторът да представи доказателства, че я е платил.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