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№6045/02.12.2021 по търг. д. №2532/2021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№60450</w:t>
        <w:tab/>
        <w:br/>
        <w:tab/>
        <w:t xml:space="preserve"> </w:t>
        <w:tab/>
        <w:br/>
        <w:tab/>
        <w:t xml:space="preserve"> [населено място],02.12.2021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първи декември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ВАСИЛЕВАЧЛЕНОВЕ: АННА БАЕВА</w:t>
        <w:tab/>
        <w:br/>
        <w:tab/>
        <w:t xml:space="preserve"> </w:t>
        <w:tab/>
        <w:br/>
        <w:tab/>
        <w:t xml:space="preserve">ЛЮДМИЛА ЦОЛОВАизслуша докладваното от съдия А. Б ч. т.д. № 2532 по описа за 2021г.,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2 ГПК.</w:t>
        <w:tab/>
        <w:br/>
        <w:tab/>
        <w:t xml:space="preserve"> </w:t>
        <w:tab/>
        <w:br/>
        <w:tab/>
        <w:t xml:space="preserve">Образувано е по молба на „ГРУПАМА ЗАСТРАХОВАНЕ“ ЕАД, [населено място], с искане за спиране изпълнението на въззивно решение № 239 от 14.10.2021г. по в. т.д. № 18/21г. на Апелативен съд – В. Т.</w:t>
        <w:tab/>
        <w:br/>
        <w:tab/>
        <w:t xml:space="preserve"> </w:t>
        <w:tab/>
        <w:br/>
        <w:tab/>
        <w:t xml:space="preserve">С молба вх. № 69141 от 30.11.2021г. молителят е заявил, че е платил сумите, за които е осъден с въззивното решение по изпълнителното дело, образувано въз основа на издадения изпълнителен лист, като е извършено разпределение от ЧСИ и сумите са платени на взискателя. Заявил е, че поради това няма интерес и не поддържа молбата за спиране на изпълнението на посоченото решение.</w:t>
        <w:tab/>
        <w:br/>
        <w:tab/>
        <w:t xml:space="preserve"> </w:t>
        <w:tab/>
        <w:br/>
        <w:tab/>
        <w:t xml:space="preserve">Настоящият състав, като взе предвид направеното от молителя изявление, което по същество представлява оттегляне на молбата за спиране изпълнението на въззивно решение № 239 от 14.10.2021г. по в. т.д. № 18/21г. на Апелативен съд – В. Т, намира, че производството следва да бъде прекратено поради десезиране на съда.</w:t>
        <w:tab/>
        <w:br/>
        <w:tab/>
        <w:t xml:space="preserve"> </w:t>
        <w:tab/>
        <w:br/>
        <w:tab/>
        <w:t xml:space="preserve">Поради това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ч. т.д. № 2532/2021г. на Върховния касационен съд, Търговска колегия, Второ отделение.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съобщаването му на страните с частна жалба пред друг състав на Върховния касационен съд.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