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№425/01.06.2011 по ч. търг. д. №205/2011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425</w:t>
        <w:tab/>
        <w:br/>
        <w:tab/>
        <w:t xml:space="preserve"> </w:t>
        <w:tab/>
        <w:br/>
        <w:tab/>
        <w:t xml:space="preserve">С., 01.06.2011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закрито заседание на двадесет и седми май през две хиляди и единадесета година в състав: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К. Е.</w:t>
        <w:tab/>
        <w:br/>
        <w:tab/>
        <w:t xml:space="preserve"> </w:t>
        <w:tab/>
        <w:br/>
        <w:tab/>
        <w:t xml:space="preserve">Б. Й.</w:t>
        <w:tab/>
        <w:br/>
        <w:tab/>
        <w:t xml:space="preserve"> </w:t>
        <w:tab/>
        <w:br/>
        <w:tab/>
        <w:t xml:space="preserve">изслуша докладваното от съдия К. Е. ч. т. д. № 205/2011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„Р. (България)” ЕАД, [населено място] срещу определение № 11782 от 16.08.2010 г. по ч. гр. д. № 8783/2010 г. на Софийски градски съд, ІV Г състав. С обжалваното определение е потвърдено постановеното от Софийски районен съд, 37 състав разпореждане от 27.04.2010 г. по гр. д. № 17356/2010г.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, с която е отхвърлено подаденото от банката - частен касатор заявление по чл. 417, т. 2 ГПК за издаване на заповед за незабавно изпълнение и изпълнителен лист против [фирма], [населено място], Н. В. А., Н. Б. А., П. А. П. и М. Н. Ж. </w:t>
        <w:tab/>
        <w:br/>
        <w:tab/>
        <w:t xml:space="preserve"> </w:t>
        <w:tab/>
        <w:br/>
        <w:tab/>
        <w:t xml:space="preserve">за сумата 3 313.36 лв.</w:t>
        <w:tab/>
        <w:br/>
        <w:tab/>
        <w:t xml:space="preserve"> </w:t>
        <w:tab/>
        <w:br/>
        <w:tab/>
        <w:t xml:space="preserve"> – вземане за лихви по договор за банков кредит № 700101 от 28.05.2007 г. и анекс № 1 към него от 26.08.2009 г.</w:t>
        <w:tab/>
        <w:br/>
        <w:tab/>
        <w:t xml:space="preserve"> </w:t>
        <w:tab/>
        <w:br/>
        <w:tab/>
        <w:t xml:space="preserve">В частната касационна жалба се поддържа, че обжалваното определение е неправилно, поради което се иска неговата отмяна. Развити са подробни съображения относно същността на лихвите, уговоряни по договорите за банков кредит, както и относно задължението на съда в заповедното производство да вземе предвид единствено данните, съдържащи се в документа по ч. 417, т. 2 ГПК – извлечение от счетоводните книги на банката.</w:t>
        <w:tab/>
        <w:br/>
        <w:tab/>
        <w:t xml:space="preserve"> </w:t>
        <w:tab/>
        <w:br/>
        <w:tab/>
        <w:t xml:space="preserve">Допускането на касационното обжалване е аргументирано с твърдението, че атакуваното определение съдържа произнасяне по значим процесуалноправен въпрос /без същият да е посочен конкретно/, който е решен в противоречие с практиката на съдилищата /чл. 280, ал. 1, т. 2 ГПК/ - Тълкувателно решение № 1 от 28.12.2005 г. на ОСТК на ВКС; решение от 31.03.2006 г. по т. д. № 911/2005 г. на ВКС, ІІ т. о. и определение № 4 от 19.01.2009 г. по ч. т. д. № 1/2009 г. на Силистренски окръжен съд.</w:t>
        <w:tab/>
        <w:br/>
        <w:tab/>
        <w:t xml:space="preserve"> </w:t>
        <w:tab/>
        <w:br/>
        <w:tab/>
        <w:t xml:space="preserve">Ответниците по частната касационна жалба не заявяват становище по същата.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делото, приема следното: </w:t>
        <w:tab/>
        <w:br/>
        <w:tab/>
        <w:t xml:space="preserve"> </w:t>
        <w:tab/>
        <w:br/>
        <w:tab/>
        <w:t xml:space="preserve">Частната касационна жалба е процесуално допустима – подадена е от надлежна страна, в преклузивния срок по чл. 275, ал. 1 ГПК, срещу подлежащ на обжалване съдебен акт.</w:t>
        <w:tab/>
        <w:br/>
        <w:tab/>
        <w:t xml:space="preserve"> </w:t>
        <w:tab/>
        <w:br/>
        <w:tab/>
        <w:t xml:space="preserve">За да потвърди разпореждането на първоинстанционния съд, с което подаденото от „Р. (България)” ЕАД, [населено място] заявление е отхвърлено </w:t>
        <w:tab/>
        <w:br/>
        <w:tab/>
        <w:t xml:space="preserve"> </w:t>
        <w:tab/>
        <w:br/>
        <w:tab/>
        <w:t xml:space="preserve">частично</w:t>
        <w:tab/>
        <w:br/>
        <w:tab/>
        <w:t xml:space="preserve"> </w:t>
        <w:tab/>
        <w:br/>
        <w:tab/>
        <w:t xml:space="preserve"> – за сумата 3 313.36 лв., претедирана като лихва по приложения договор за банков кредит, въззивният съд е приел, че е налице нередовност на заявлението по смисъла на чл. 410, ал. 2 във връзка с чл. 127, т. и т. 5 ГПК, тъй като не са посочени основанието на това вземане /възнаградителна лихва, мораторна лихва или неустойка за забава/ и периодът, за който същото е изчислено, както и че липсват данни за неговата изискуемост.</w:t>
        <w:tab/>
        <w:br/>
        <w:tab/>
        <w:t xml:space="preserve"> </w:t>
        <w:tab/>
        <w:br/>
        <w:tab/>
        <w:t xml:space="preserve">Настоящият състав намира, че въззивното определение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Макар да не е изрично формулиран, с оглед твърденията в изложението по чл. 284, ал. 3,, 1 ГПК, би могло да се приеме, че поставеният от частния касатор въпрос е свързан с редовността на заявлението по чл. 417, т. 2 ГПК. Безспорно, в случая този въпрос е значим за конкретното дело по смисъла на чл. 280, ал. 1 ГПК, доколкото обуславя изхода му, но по отношение на него не е осъществено поддържаното основание по чл. 280, ал. 1, т. 2 ГПК. Два от цитираните от частния касатор актове са напълно неотносими към заповедното производство, а съответно и към поставения въпрос за редовността на заявлението, с което същото се инициира – Тълкувателно решение № 1 от 28.12.2005 г. на ОСТК на ВКС касае издаването на изпълнителен лист по чл. 237, б. „в” ГПК отм., но не съдържа указания във връзка с редовността на молбата, а решението по т. д. № 911/2005 г. на ВКС, ІІ т. о. съдържа произнасяне относно характера и дължимостта на обезщетението по чл. 86, ал. 1 ЗЗД. Приложеното определение на Силистренски окръжен съд също не доказва твърдяното противоречие в практиката, тъй като липсва идентичност на разрешения с него въпрос и този, поставен като значим за настоящото дело – в посочения акт е разрешен въпросът следва ли със заявлението, освен извлечението от сметка по чл. 417, т. 2 ГПК, да бъдат представени копия и от самите счетоводни книги.</w:t>
        <w:tab/>
        <w:br/>
        <w:tab/>
        <w:t xml:space="preserve"> </w:t>
        <w:tab/>
        <w:br/>
        <w:tab/>
        <w:t xml:space="preserve">Независимо от изложеното, следва да се посочи, че по въпроса за редовността на заявлението за издаване на заповед за изпълнение вече е създадена и задължителна съдебна практика. В множество постановени от ВКС определения /определение № 431 от 09.12.2008 г. по ч. т. д. № 414/2008 г. на ІІ т. о.; определение № 37 от 19.01.2009 г. по ч. т. д. № 286/2008 г. на ІІ т. о.; определение № 126 от 15.02.2010 г. по ч. т. д. № 815/2009 г. на ІІ т. о.,; определение № 509 от 24.06.2010 г. по ч. т. д. № 172/2010 г. на І т. о.; определение № 744 от 28.10.2010 г. по ч. т. д. № 731/2010 г. на ІІ т. о. и др./ е подчертана необходимостта от надлежно индивидуализиране на претендираното вземане чрез посочване на неговите страни, основание и размер, обоснована с препращането в чл. 410, ал. 2 ГПК към изискванията за редовност на исковата молба по чл. 127, ал. 1 ГПК. Обжалваното определение е изцяло в съответствие с цитираната практика, поради което липсва основание за касирането му.</w:t>
        <w:tab/>
        <w:br/>
        <w:tab/>
        <w:t xml:space="preserve"> </w:t>
        <w:tab/>
        <w:br/>
        <w:tab/>
        <w:t xml:space="preserve"> С оглед недопускане на частната касационна жалба до разглеждане по същество внесената от частния касатор държавна такса в размер на сумата 18.13 лв. /разликата над дължимата такса в размер на 15 лв./ следва да му бъде върната.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определение № 11782 от 16.08.2010 г. по ч. гр. д. № 8783/2010 г. на Софийски градски съд, ІV Г състав.</w:t>
        <w:tab/>
        <w:br/>
        <w:tab/>
        <w:t xml:space="preserve"> </w:t>
        <w:tab/>
        <w:br/>
        <w:tab/>
        <w:t xml:space="preserve">ОСВОБОЖДАВА</w:t>
        <w:tab/>
        <w:br/>
        <w:tab/>
        <w:t xml:space="preserve"> </w:t>
        <w:tab/>
        <w:br/>
        <w:tab/>
        <w:t xml:space="preserve"> внесената от „Р. (България)” ЕАД, [населено място] по сметка на Върховен касационен съд държавна такса в размер на 18.13 лв.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