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№91/02.02.2012 по ч. търг. д. №787/2011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Гр.София, 03.02.2012г.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отд., в закрито заседание на първи февруари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787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 ГПК.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 от 27.09.2011г., с което Софийският апелативен съд е спрял производството по т. д.№ 2009/11г. до приключване с влязло в сила решение на производството по т. д.№ 1362/09г. на СГС.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“Б. Книг К.”, САЩ оспорва частната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намира, че частната жалба е допустима, но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 Софийският апелативен съд е приел, че е предявен иск по чл. 72г, ал. 2 ЗМГО за защита на марка на Общността, като при разглеждането му се прилага българското законодателство, доколкото в Регламент 207/2009/ЕО не е предвидено друго. Искът е основан на чл. 165, § 5 от Регламента, съгласно който може да се постанови забрана за използване на марка на Общността, ако по - ранната марка или друго по-ранно право са били регистрирани, била е подадена заявка за регистрацията им или правата са придобити добросъвестно в новата държава – членка преди датата на присъединяване. С оглед на обстоятелството, че ответникът не може да релевира в това производство възражение за недобросъвестност и според българското право недобросъвестността на заявителя следва да се установи в отделно производство по иск по чл. 26, ал. 3, т. 4 ЗМГО, решението по предявения иск пред СГС е обуславящо за правилното решаване на спора на настоящото дело.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Съставът на ВКС изцяло споделя съображенията на въззивния съд. Независимо дали изброените основания в чл. 165, § 5 на Регламент 207/2009/ЕО за забрана за използване на марката на Общността са “отделни”, както сочи частният жалбоподател, в процеса е въведено възражение, че правата не са придобити добросъвестно. С иска по чл. 26, ал. 3, т. 4 ЗМГО се установява със сила на пресъдено нещо недобросъвестността на заявителя при подаване на заявката и уважаването на този иск е предпоставка за заличаване на регистрацията по чл. 28, ал. 3 ЗМГО. Заличаването на регистрацията в тази хипотеза има действие от датата на заявката и респ. би било от значение за правилното решаване на спора за по-ранната марка или за по-ранната заявка. Разпоредбата на чл. 28, ал. 4 ЗМГО относно действието на заличаването намира приложение при изпълнени влезли в сила решения по искове за нарушения, но не и в настоящия случай.</w:t>
        <w:tab/>
        <w:br/>
        <w:tab/>
        <w:t xml:space="preserve"> </w:t>
        <w:tab/>
        <w:br/>
        <w:tab/>
        <w:t xml:space="preserve"> Разноски за настоящото производство не са претендирани.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от 27.09.2011г., с което Софийският апелативен съд е спрял производството по т. д.№ 2009/11г. до приключване с влязло в сила решение на производството по т. д.№ 1362/09г. на СГС.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