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№558/04.05.2011 по гр. д. №33/2011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558 </w:t>
        <w:tab/>
        <w:br/>
        <w:tab/>
        <w:t xml:space="preserve"> </w:t>
        <w:tab/>
        <w:br/>
        <w:tab/>
        <w:t xml:space="preserve"> ГР. С., 04.05.2011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3.05.11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М. И.</w:t>
        <w:tab/>
        <w:br/>
        <w:tab/>
        <w:t xml:space="preserve"> </w:t>
        <w:tab/>
        <w:br/>
        <w:tab/>
        <w:t xml:space="preserve"> И. П.</w:t>
        <w:tab/>
        <w:br/>
        <w:tab/>
        <w:t xml:space="preserve"> </w:t>
        <w:tab/>
        <w:br/>
        <w:tab/>
        <w:t xml:space="preserve">като разгледа докладваното от съдия И. гр. д. №33/11 г.,</w:t>
        <w:tab/>
        <w:br/>
        <w:tab/>
        <w:t xml:space="preserve"> </w:t>
        <w:tab/>
        <w:br/>
        <w:tab/>
        <w:t xml:space="preserve">намира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[фирма], [населено място] срещу въззивното решение на Софийски градски съд /ГС/ по гр. д. №6649/10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са уважени предявените от И. И. срещу касатора искове по чл. 344, ал. 1, т. 1 и 2 от КТ – отменено е дисциплинарното уволнение на ищеца от длъжността „продавач Г.” и той е възстановен на предишната работа при ответника.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1 от ГПК. Сочи, че по въпроса: как следва да се индивидуализира дисциплинарното нарушение в заповедта за налагане на дисциплинарно наказание, за да отговаря на изискването по чл. 195 от КТ, въззивното решение противоречи на ППВС №6/59 г.,т. 29. В него е указано, че от значение са фактите, посочени в уволнителната заповед, а не цитираният законов текст; ако в заповедта за уволнение не са изложени фактите, послужили като основание за уволнението, вземат се предвид тези, за които страните не спорят, че са послужили за такова основание; когато в заповедта не са изложени фактите и страните не спорят за тях, от значение са тези, които съответстват на посоченото в заповедта правно основание. Постановлението е прието при действието на КТ от 1951 г., отм. </w:t>
        <w:tab/>
        <w:br/>
        <w:tab/>
        <w:t xml:space="preserve"> </w:t>
        <w:tab/>
        <w:br/>
        <w:tab/>
        <w:t xml:space="preserve"> В обжалваното решение е прието, че заповедта за уволнение не отговаря на изискванията за съдържание по чл. 195, ал. 1 от КТ – не е описано конкретното нарушение на тр. дисциплина, квалифицирано като злоупотреба с доверието на работодателя. Не става ясно кога и къде е извършено и какви са признаците му от обективна и субективна страна, за да се прецени дали са осъществени, като предпоставка за налагане на дисциплинарното наказание. Изискването за посочване на нарушението с индивидуализиращите го като акт на конкретно поведение признаци е императивно, а липсата му – достатъчна за незаконност на уволнението.</w:t>
        <w:tab/>
        <w:br/>
        <w:tab/>
        <w:t xml:space="preserve"> </w:t>
        <w:tab/>
        <w:br/>
        <w:tab/>
        <w:t xml:space="preserve"> Със заповедта за уволнение от 30.09.09 г. на ищеца е наложено наказание дисциплинарно уволнение на осн. чл. 190, ал. 1, т. 6 от КТ. Заповедта е мотивирана така: „Фактическите обстоятелства, свързани с извършеното нарушение са: лицето И. И. е злоупотребил с доверието на работодателя... Мотивите за налагане на наказанието са: лицето злоупотреби с доверието на работодателя и при покана да даде обяснения за поведението си, не даде такива”.</w:t>
        <w:tab/>
        <w:br/>
        <w:tab/>
        <w:t xml:space="preserve"> </w:t>
        <w:tab/>
        <w:br/>
        <w:tab/>
        <w:t xml:space="preserve"> При тези данни изводът на ГС, че заповедта не е мотивирана съобр. императивните изисквания на чл. 195, ал. 1 от КТ, което води до незаконност на уволнението е съответен на практиката на ВКС по чл. 290 от ГПК – Р №195/10 г. по гр. д. №698/09 г. на трето г. о., №201/10 г. по гр. д. №38/10 г. на четвърто г. о. и др. </w:t>
        <w:tab/>
        <w:br/>
        <w:tab/>
        <w:t xml:space="preserve"> </w:t>
        <w:tab/>
        <w:br/>
        <w:tab/>
        <w:t xml:space="preserve"> ППВС №6/59 г. е прието при действието на отменения КТ от 1951 г. Разпоредбите на чл. 130 и чл. 131 от него не съдържат задължителни изисквания за съдържание на писмената заповед за уволнение, каквито са въведени с чл. 195 от КТ от 1986 г.. Затова указанията в това постановление, на които се позовава касаторът са загубили значение при действието на новия КТ и не обосновават противоречие по чл. 280, ал. 1, т. 1 от ГПК.</w:t>
        <w:tab/>
        <w:br/>
        <w:tab/>
        <w:t xml:space="preserve"> </w:t>
        <w:tab/>
        <w:br/>
        <w:tab/>
        <w:t xml:space="preserve"> Не е налице соченото основание за допускане на обжалването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решението на Градски съд С. по гр. д. №6649/10 г. от 1.10.10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