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№88/12.02.2026 по ч. нак. д. №133/2026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88</w:t>
        <w:tab/>
        <w:br/>
        <w:tab/>
        <w:t xml:space="preserve"/>
        <w:tab/>
        <w:br/>
        <w:tab/>
        <w:t xml:space="preserve"> гр. София, 12.02.2026 г.</w:t>
        <w:tab/>
        <w:br/>
        <w:tab/>
        <w:t xml:space="preserve"/>
        <w:tab/>
        <w:br/>
        <w:tab/>
        <w:t xml:space="preserve">ВЪРХОВЕН КАСАЦИОНЕН СЪД в закрито заседание на единадесети февруари през две хиляди двадесет и шеста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Членове:Петя Шишкова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20268003200133 по описа за 2026 година</w:t>
        <w:tab/>
        <w:br/>
        <w:tab/>
        <w:t xml:space="preserve"/>
        <w:tab/>
        <w:br/>
        <w:tab/>
        <w:t xml:space="preserve"> Производството е по реда на чл. 44, ал. 1 от НПК.</w:t>
        <w:tab/>
        <w:br/>
        <w:tab/>
        <w:t xml:space="preserve"/>
        <w:tab/>
        <w:br/>
        <w:tab/>
        <w:t xml:space="preserve">Образувано е по повод на определение № 140 от 04.02.2026г. по ЧНД № 123/2026г. по описа на Районен съд - Сливен, с което съдебното производство по делото е прекратено и делото е изпратено на ВКС за произнасяне по спор за подсъдност между Сливенския и Добричкия районни съдилища.</w:t>
        <w:tab/>
        <w:br/>
        <w:tab/>
        <w:t xml:space="preserve"/>
        <w:tab/>
        <w:br/>
        <w:tab/>
        <w:t xml:space="preserve">Частното съдебно производство е образувано по искане за разрешение за извършване на претърсване и изземване в жилището на П. Д. И., обвиняемо лице, както и в ползвани от него леки автомобили. Искането е по досъдебно производство № 781/2022г. на І РУ на МВР – Добрич. Адресирано е до Районен съд – Добрич, който е прекратил производството пред себе си и е изпратил делото на Сливенския районен съд, който от своя страна е повдигнал препирня за подсъдност.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след като обсъди доводите на съдилищата и приложените по делото материали, намери следното:</w:t>
        <w:tab/>
        <w:br/>
        <w:tab/>
        <w:t xml:space="preserve"/>
        <w:tab/>
        <w:br/>
        <w:tab/>
        <w:t xml:space="preserve">Съгласно разпоредбата на чл. 161, ал. 1 от НПК в досъдебното производство претърсване и изземване се извършват с разрешение на съдия от съответния първоинстанционен съд или от първоинстанционния съд, в района на който се извършва действието. В конкретния случай прокурорът е избрал първата възможност, тъй като жилището на И. и ползваните от него автомобили се намират в гр.Горна Оряховица, а Горнооряховският районен съд не е бил сезиран. При това положение, за правилното решаване на спора за подсъдност следва да бъде даден отговор на въпроса кой съд е „съответния“ по смисъла на закона. Видно от постановлението за привличане на лицето като обвиняем, И. е обвинен в извършването на продължавано престъпление, довършено в района на Сливенския районен съд. Местната подсъдност, определена по правилата на чл. 36, ал. 2 от НПК сочи, че делото следва да се разгледа от Слиивенския районен съд, и не се променя поради обстоятелството, че разследването се наблюдава от районната прокуратура в гр.Добрич. Съдът преценява дали е компетентен да се произнесе единствено съобразно процесуалния закон и формулировката на постановлението за привличане на обвиняемия и не е обвързан от евентуалните решения, взети по целесъобразност в прокуратурата, досъдебното производство да се извърши в район, различен от района на съда, компетентен да разгледа делото.</w:t>
        <w:tab/>
        <w:br/>
        <w:tab/>
        <w:t xml:space="preserve"/>
        <w:tab/>
        <w:br/>
        <w:tab/>
        <w:t xml:space="preserve">С оглед изложеното делото следва да бъде върнато за разглеждане от Районния съд в гр.Сливен.</w:t>
        <w:tab/>
        <w:br/>
        <w:tab/>
        <w:t xml:space="preserve"/>
        <w:tab/>
        <w:br/>
        <w:tab/>
        <w:t xml:space="preserve">Водим от горното и на основание чл. 44, ал. 1 от НПК, ВКС, ІІ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Прекратеното ЧНД № 123/2026г. да се върне за разглеждане на Сливенския районен съд.</w:t>
        <w:tab/>
        <w:br/>
        <w:tab/>
        <w:t xml:space="preserve"/>
        <w:tab/>
        <w:br/>
        <w:tab/>
        <w:t xml:space="preserve"> Препис от определението да се изпрати на РС – Добрич,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