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№118/17.09.2014 по нак. д. №1384/2014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шестнадесети септември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с участието на прокурора Петя Маринова 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1384 по описа за 2014 година.</w:t>
        <w:tab/>
        <w:br/>
        <w:tab/>
        <w:t xml:space="preserve"> </w:t>
        <w:tab/>
        <w:br/>
        <w:tab/>
        <w:t xml:space="preserve"> С определение № 434 от 29.07.2014 г. по чнд № 891/14 г. Окръжният съд-гр.Варна прекратил съдебното производство по делото и изпратил същото на Окръжен съд-гр.София, по компетентност.</w:t>
        <w:tab/>
        <w:br/>
        <w:tab/>
        <w:t xml:space="preserve"> </w:t>
        <w:tab/>
        <w:br/>
        <w:tab/>
        <w:t xml:space="preserve"> С определение от 18.08.2014 г. по чнд № 318/14 г. СОС прекратил съдебното производство по делото и повдигнал спор за подсъдност, като делото е изпратено на ВКС.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становище, че делото е подсъдно на ВОС.</w:t>
        <w:tab/>
        <w:br/>
        <w:tab/>
        <w:t xml:space="preserve"> </w:t>
        <w:tab/>
        <w:br/>
        <w:tab/>
        <w:t xml:space="preserve"> За да се произнесе ВКС, първо наказателно отделение взе предвид следното:</w:t>
        <w:tab/>
        <w:br/>
        <w:tab/>
        <w:t xml:space="preserve"> </w:t>
        <w:tab/>
        <w:br/>
        <w:tab/>
        <w:t xml:space="preserve"> ЧНД е образувано по повод заповед за глоба, издадена от съдия при Районен съд-г.Х., Ф., спрямо българския гражданин А. К. А., с постоянен адрес в [населено място], [улица], ап. 1 и настоящ адрес в [населено място], [улица] (виж справка на л. 25 от делото по описа на СОС).</w:t>
        <w:tab/>
        <w:br/>
        <w:tab/>
        <w:t xml:space="preserve"> </w:t>
        <w:tab/>
        <w:br/>
        <w:tab/>
        <w:t xml:space="preserve"> От съдържанието на заповедта се установява, че на същата липсва отбелязване за датата на влизането й в сила, а и не се твърди това. Нещо повече, очевидно се съдържат указания до А., че заповедта за глоба влиза в сила и е подлежаща на изпълнение, ако не направи възражения в писмен вид до служебната канцелария на районния съд на [населено място], в рамките на две седмици от получаване на писмото.</w:t>
        <w:tab/>
        <w:br/>
        <w:tab/>
        <w:t xml:space="preserve"> </w:t>
        <w:tab/>
        <w:br/>
        <w:tab/>
        <w:t xml:space="preserve"> СОС е установил, че посоченият от А. като настоящ адрес в [населено място], не се ползва от него (виж докладни записки от 05 и 13 август 2014 г. – л. 26 и 28 от делото по описа на СОС).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ВКС, първо наказателно отделение установи:</w:t>
        <w:tab/>
        <w:br/>
        <w:tab/>
        <w:t xml:space="preserve"> </w:t>
        <w:tab/>
        <w:br/>
        <w:tab/>
        <w:t xml:space="preserve"> Посочената по-горе заповед, издадена от РС-гр.Хановер, не е изпратена в РБ за изпълнение, а за връчване. Последното се осъществява по реда на чл. 471, ал. 1 и ал. 2, т. 1 от НПК, във връзка с чл. 7 от Европейската конвенция за взаимопомощ по наказателноправни въпроси. Доколкото е установено, че А. не ползва жилището по настоящ адрес в [населено място], очевидно връчването на коментираната заповед следва да стане по неговия постоянен адрес, който е в [населено място].</w:t>
        <w:tab/>
        <w:br/>
        <w:tab/>
        <w:t xml:space="preserve"> </w:t>
        <w:tab/>
        <w:br/>
        <w:tab/>
        <w:t xml:space="preserve"> Ето защо на основание чл. 44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делото, образувано по заповед за глоба, издадена от Районен съд-гр.Хановер, Ф., спрямо А. К. А., с постоянен адрес в [населено място], за образуване и разглеждане по същество на Окръжен съд-гр.Варна.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