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№512/05.11.2024 по ч. нак. д. №962/2024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512</w:t>
        <w:tab/>
        <w:br/>
        <w:tab/>
        <w:t xml:space="preserve"/>
        <w:tab/>
        <w:br/>
        <w:tab/>
        <w:t xml:space="preserve">гр. София, 05.11.2024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съдия Шишкова касационно частно дело № 962 по описа за 2024г.,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чл.44, ал.1 от НПК. </w:t>
        <w:tab/>
        <w:br/>
        <w:tab/>
        <w:t xml:space="preserve"/>
        <w:tab/>
        <w:br/>
        <w:tab/>
        <w:t xml:space="preserve">Образувано е по повод на протоколно определение № 2477 от 22.10.2024г., постановено по АНД № 784/2024г. по описа на Районен съд – Благоевград, с което съдебното производство по делото е прекратено и делото е изпратено на ВКС за произнасяне по спор за подсъдност между Радомирския районен съд и Софийски районен съд.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доводите на съдилищата и приложените по делото материали, намери следното:</w:t>
        <w:tab/>
        <w:br/>
        <w:tab/>
        <w:t xml:space="preserve"/>
        <w:tab/>
        <w:br/>
        <w:tab/>
        <w:t xml:space="preserve">НАХД № 16184/23г. е образувано на основание чл.58д и сл. от ЗАНН пред Софийски районен съд по жалба от представляващите „Инфраструктурно строителство“ АД срещу Наказателно постановление № 01-2300411/16.10.2023г., с което за нарушение на чл.2, ал.1, вр. чл.16, ал.1 от Наредбата за задължителното застраховане на работниците и служителите за риска „трудова злополука“ и на основание чл.416, ал.5, вр. чл.415в, ал.1 от Кодекса на труда на дружеството е наложена имуществена санкция в размер на 300лв. Нарушението се изразява в това, че работникът К. Н. П., изпълняващ длъжността „шпакловчик“ не е бил застрахован от работодателя за риска „трудова злополука“. Констатирано е на 20.06.2023г. от инспектори в Дирекция „Инспекция по труда“ – Благоевград, при проверка на строителен обект, находящ се в [населено място], [община].</w:t>
        <w:tab/>
        <w:br/>
        <w:tab/>
        <w:t xml:space="preserve"/>
        <w:tab/>
        <w:br/>
        <w:tab/>
        <w:t xml:space="preserve">С определение от 03.06.2024г. Софийски районен съд е прекратил производството пред себе си и е изпратил делото по подсъдност на Благоевградския районен съд. Мотивирал се е с това, че мястото на извършване на нарушението е Благоевград. </w:t>
        <w:tab/>
        <w:br/>
        <w:tab/>
        <w:t xml:space="preserve"/>
        <w:tab/>
        <w:br/>
        <w:tab/>
        <w:t xml:space="preserve">Благоевградският районен съд е повдигнал настоящата препирня за подсъдност с аргументи, че нарушението е осъществено чрез бездействие, а дружеството – работодател, е следвало да изпълни задължението за задължително застраховане на работниците там, където е седалището му. </w:t>
        <w:tab/>
        <w:br/>
        <w:tab/>
        <w:t xml:space="preserve"/>
        <w:tab/>
        <w:br/>
        <w:tab/>
        <w:t xml:space="preserve">Настоящият съдебен състав намери следното:</w:t>
        <w:tab/>
        <w:br/>
        <w:tab/>
        <w:t xml:space="preserve"/>
        <w:tab/>
        <w:br/>
        <w:tab/>
        <w:t xml:space="preserve">Съгласно разпоредбата на чл.59 от ЗАНН, актовете по чл. 58д подлежат на обжалване пред районния съд, в района на който е извършено нарушението. Видно от съдържанието на атакуваното наказателно постановление, нарушението се изразява в това, че работодателят „не е застраховал за своя сметка за риска „трудова злополука“ работника К. Н. П.“, т. е. осъществено е чрез бездействие. Местната подсъдност се определя в района, където е следвало да бъде извършено дължимото действие. Когато обаче става въпрос за свободни търговски отношения, работодателят не е нормативно обвързан да договаря с конкретно дружество и би могъл да сключи договор с лицензиран застраховател на различни места в страната и в чужбина. При това положение местната подсъдност следва да бъде определена съобразно общия принцип, че отношенията на субектите с държавната администрация се осъществяват при спазване на изискванията за законност, бързина, достъпност и икономичност на производството, за качествено и удобно за физическите и юридическите лица административно обслужване. Така изведеният критерий налага разглеждане на делото от съда, в чиито район е седалището на санкционираното дружество. „Инфраструктурно строителство“ АД е със адрес на управление в [населено място], [улица], [жилищен адрес] поради което местно компетентен е Софийски районен съд. </w:t>
        <w:tab/>
        <w:br/>
        <w:tab/>
        <w:t xml:space="preserve"/>
        <w:tab/>
        <w:br/>
        <w:tab/>
        <w:t xml:space="preserve">Водим от горното и на основание чл.44, ал.1 от НПК, ВКС, ІІ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прекратеното НАХД № 784/2024г. на Районен съд – Благоевград, за разглеждане на Софийски районен съд.</w:t>
        <w:tab/>
        <w:br/>
        <w:tab/>
        <w:t xml:space="preserve"/>
        <w:tab/>
        <w:br/>
        <w:tab/>
        <w:t xml:space="preserve">Препис от определението да се изпрати на Благоевградския районен съд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