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№562/08.06.2011 по гр. д. №9/2011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9/2011 год.</w:t>
        <w:tab/>
        <w:br/>
        <w:tab/>
        <w:t xml:space="preserve"/>
        <w:tab/>
        <w:br/>
        <w:tab/>
        <w:t xml:space="preserve">О П Р Е Д Е Л Е Н И Е</w:t>
        <w:tab/>
        <w:br/>
        <w:tab/>
        <w:t xml:space="preserve"> </w:t>
        <w:tab/>
        <w:br/>
        <w:tab/>
        <w:t xml:space="preserve">№ 562</w:t>
        <w:tab/>
        <w:br/>
        <w:tab/>
        <w:t xml:space="preserve"> </w:t>
        <w:tab/>
        <w:br/>
        <w:tab/>
        <w:t xml:space="preserve">гр.София, 08.06.2011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шести юни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9/2011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Врачанския окръжен съд с № 719 от 18.10.2010 год., постановено по гр. дело № 561/2010 год., с което е потвърдено решение № 478 от 14.06.2010 год. по гр. дело № 525/2010 год. на Врачанския районен съд за отхвърляне иска с правна квалификация чл. 124, ал. 1 ГПК за идеална част от магазин и работилница, изградени в съсобствения между страните ПИ 357, в кв. 37 по плана [населено място], [община].</w:t>
        <w:tab/>
        <w:br/>
        <w:tab/>
        <w:t xml:space="preserve"> </w:t>
        <w:tab/>
        <w:br/>
        <w:tab/>
        <w:t xml:space="preserve"> Недоволни от въззивното решение са касаторите Г. Н. Г. и Ц. Н. А., двамата от [населено място], [община], представлявани от адвокат Д. В. от Врачанската адвокатска колегия, които го обжалват в срока по чл. 283 ГПК като считат, че е допустимо касационно обжалване на основание чл. 280, ал. 1, т. 3 ГПК тъй като „съдът с решението си се е произнесъл по материалноправен въпрос във връзка с което неправилно е приложил разпоредбите на закона, респ. чл. 92 ЗС, чл. 58, ал. 1 ЗТСУ отм. и т. 5 от ППВС № 1/01.06.1989 год.”.</w:t>
        <w:tab/>
        <w:br/>
        <w:tab/>
        <w:t xml:space="preserve"> </w:t>
        <w:tab/>
        <w:br/>
        <w:tab/>
        <w:t xml:space="preserve"> Ответниците по касация И. Н. Г. и П. Т. Г. от същото село не вземат становище по допустимостта на касационното обжалване.</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не е оборена презумпцията на чл. 92 ЗС, поради което правата на страните са равни /по ид. част/ върху постройките с оглед квотите им в съсобственото дворно място. Взето е предвид, че не е учредено право на строеж съгласно чл. 63 ЗС или при условията на чл. 56, ал. 3, респ. чл. 58, ал. 1 ЗТСУ отм., а липсва и договор за строежа в нотариална форма както предвижда чл. 183 ЗУТ, поради което узаконяването е на името на двамата съсобственици. Отчетено е, че ако разходите по изграждането са направени само от един от съсобствениците – то защитата на правата е по чл. 30, ал. 3 ЗС.</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 </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Така както са изложени основанията за допустимост касаят чл. 281, т. 3 ГПК.</w:t>
        <w:tab/>
        <w:br/>
        <w:tab/>
        <w:t xml:space="preserve"> </w:t>
        <w:tab/>
        <w:br/>
        <w:tab/>
        <w:t xml:space="preserve"> Постановление № 1 от 01.06.1989 год. по гр. дело № 1/1989 год. на Пленума на Върховния съд касае обявяване загубили сила, допълване и изменяване на постановления на Пленума на Върховния съд на РБ по граждански дела и тълкувателни решения на Общото събрание на гражданската колегия на Върховния съд /изчерпателно изброени/.</w:t>
        <w:tab/>
        <w:br/>
        <w:tab/>
        <w:t xml:space="preserve"> </w:t>
        <w:tab/>
        <w:br/>
        <w:tab/>
        <w:t xml:space="preserve"> По изложените съображения Върховния касационен съд, състав на І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Врачанския окръжен съд с № 419 от 18.10.2010 год., постановено по гр. дело № 561/2010 год.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