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№511/04.11.2024 по ч. нак. д. №954/2024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511</w:t>
        <w:tab/>
        <w:br/>
        <w:tab/>
        <w:t xml:space="preserve"/>
        <w:tab/>
        <w:br/>
        <w:tab/>
        <w:t xml:space="preserve">Гр. София, 01 ноември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първи ноември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МАЯ ЦОНЕВА</w:t>
        <w:tab/>
        <w:br/>
        <w:tab/>
        <w:t xml:space="preserve"/>
        <w:tab/>
        <w:br/>
        <w:tab/>
        <w:t xml:space="preserve"> ЧЛЕНОВЕ: БОНКА ЯНКОВА</w:t>
        <w:tab/>
        <w:br/>
        <w:tab/>
        <w:t xml:space="preserve"/>
        <w:tab/>
        <w:br/>
        <w:tab/>
        <w:t xml:space="preserve"> КАЛИН КАЛПАКЧИЕВ </w:t>
        <w:tab/>
        <w:br/>
        <w:tab/>
        <w:t xml:space="preserve"/>
        <w:tab/>
        <w:br/>
        <w:tab/>
        <w:t xml:space="preserve">като разгледа докладваното от съдия Цонева наказателно частно дело № 954/2024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 и е образувано по искане за промяна на подсъдността по н. ч. х. д. № 439/2024 год. на Районен съд – Нова Загора.</w:t>
        <w:tab/>
        <w:br/>
        <w:tab/>
        <w:t xml:space="preserve"/>
        <w:tab/>
        <w:br/>
        <w:tab/>
        <w:t xml:space="preserve"> 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Делото е образувано по тъжба на Д. Д. против Т. Т. за престъпление по чл. 148, ал. 1 вр. чл. 146, ал. 1 от НК. Всички съдии от Новозагорския районен съд са депозирали отводи по съображения за близки отношения със страните. Налице е невъзможност да бъде сформиран съдебен състав, което обосновава необходимост от промяна на подсъдността на основание чл. 43, т. 3 от НПК. За да бъдат минимизирани затрудненията на страните, делото следва да бъде разгледано от Районен съд – Сливен, който се намира в най-голяма близост до местоживеенето им и като ситуиран в областен център предполага най-лесна достъпност. 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ч. х. д. № 439/2024 год. на Районен съд – Нова Загора за разглеждане и решаване от Районен съд – Сливен.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Нова Загора за сведение.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