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№504/28.10.2024 по ч. нак. д. №936/2024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</w:t>
        <w:tab/>
        <w:br/>
        <w:tab/>
        <w:t xml:space="preserve"/>
        <w:tab/>
        <w:br/>
        <w:tab/>
        <w:t xml:space="preserve">Гр. София, 28 октомври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двайсет и осми октомври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КРАСИМИРА МЕДАРОВА 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съдия Калпакчиев частно наказателно дело № 936/2024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а.х. д. № 717/2024 год. на Районен съд – Хасково.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Образуваното н. а.х. д. № 717/2024 г. е с предмет жалба на В. С. Г. против електронен фиш за налагане на глоба серия /серия/, № /номер/ на ОДМВР Хасково. </w:t>
        <w:tab/>
        <w:br/>
        <w:tab/>
        <w:t xml:space="preserve"/>
        <w:tab/>
        <w:br/>
        <w:tab/>
        <w:t xml:space="preserve"> Всички съдии от районния съд са депозирали отводи, мотивирайки се с обстоятелството, че жалбоподателят Г. е съдия в Апелативен съд – /населено място/, в чийто апелативен район попада и съда в [населено място].</w:t>
        <w:tab/>
        <w:br/>
        <w:tab/>
        <w:t xml:space="preserve"/>
        <w:tab/>
        <w:br/>
        <w:tab/>
        <w:t xml:space="preserve"> Постановявайки отводите си съдиите от РС Хасково са приели, че са налице основания, които могат да породят основателно съмнение в безпристрастността им. </w:t>
        <w:tab/>
        <w:br/>
        <w:tab/>
        <w:t xml:space="preserve"/>
        <w:tab/>
        <w:br/>
        <w:tab/>
        <w:t xml:space="preserve"> Известно е, че в процедурата по чл. 43 НПК ВКС няма правомощия да разглежда основателността на отводите, а следва единствено да констатира невъзможността за сформиране на надлежен състав, който да разгледа делото. </w:t>
        <w:tab/>
        <w:br/>
        <w:tab/>
        <w:t xml:space="preserve"/>
        <w:tab/>
        <w:br/>
        <w:tab/>
        <w:t xml:space="preserve"> Доколкото това е така, подсъдността трябва да бъде променена и делото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страните, то следва да бъде разгледано от съд, който се намира в друг съдебно-апелативен район и е в най-голяма близост до местоживеенето на страните, а именно Районен съд – Сливен.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а.х. д. № 717/2024 год. по описа на Районен съд – Хасково за разглеждане и решаване от Районен съд – Сливен.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Хасково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