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№51/03.05.2018 по гр. д. №28/2018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w:t>
        <w:tab/>
        <w:br/>
        <w:tab/>
        <w:t xml:space="preserve"> </w:t>
        <w:tab/>
        <w:br/>
        <w:tab/>
        <w:t xml:space="preserve">София, 03 май 2018год.</w:t>
        <w:tab/>
        <w:br/>
        <w:tab/>
        <w:t xml:space="preserve"> </w:t>
        <w:tab/>
        <w:br/>
        <w:tab/>
        <w:t xml:space="preserve"> Върховният касационен съд и Върховният административен съд на Република България, в закрито заседание на тридесети април, ве хиляди и осемнадесета година, в състав</w:t>
        <w:tab/>
        <w:br/>
        <w:tab/>
        <w:t xml:space="preserve"> </w:t>
        <w:tab/>
        <w:br/>
        <w:tab/>
        <w:t xml:space="preserve"> ПРЕДСЕДАТЕЛ: Надежда Джелепова ЧЛЕНОВЕ: Емил Томов </w:t>
        <w:tab/>
        <w:br/>
        <w:tab/>
        <w:t xml:space="preserve"> </w:t>
        <w:tab/>
        <w:br/>
        <w:tab/>
        <w:t xml:space="preserve"> Драгомир Драгнев </w:t>
        <w:tab/>
        <w:br/>
        <w:tab/>
        <w:t xml:space="preserve"> </w:t>
        <w:tab/>
        <w:br/>
        <w:tab/>
        <w:t xml:space="preserve"> Геновева Николаева </w:t>
        <w:tab/>
        <w:br/>
        <w:tab/>
        <w:t xml:space="preserve"> </w:t>
        <w:tab/>
        <w:br/>
        <w:tab/>
        <w:t xml:space="preserve"> Славина Владова </w:t>
        <w:tab/>
        <w:br/>
        <w:tab/>
        <w:t xml:space="preserve"> </w:t>
        <w:tab/>
        <w:br/>
        <w:tab/>
        <w:t xml:space="preserve">като разгледа докладваното от съдия Емил Томов гр. дело № 28 по описа за 2018г, за да се произнесе, взе предвид: </w:t>
        <w:tab/>
        <w:br/>
        <w:tab/>
        <w:t xml:space="preserve"/>
        <w:tab/>
        <w:br/>
        <w:tab/>
        <w:t xml:space="preserve"/>
        <w:tab/>
        <w:br/>
        <w:tab/>
        <w:t xml:space="preserve">Производството е по чл. 135, ал. 4 АПК.</w:t>
        <w:tab/>
        <w:br/>
        <w:tab/>
        <w:t xml:space="preserve"> </w:t>
        <w:tab/>
        <w:br/>
        <w:tab/>
        <w:t xml:space="preserve"> Образувано е по повдигнат спор между Районен съд – Лом и Административен съд – Монтана по въпроса за съда, компетентен да разгледа подадена жалба от [фирма] за отмяна на мълчаливия отказ на Началника на О. В. за регистриране на договори за наем на земеделски земи по заявление вх.№1942/07.08. 2017г. С жалба от 01.12.2017г., адресирана до ВАС, този жалбоподател е поискал отмяна на мълчаливия отказ на Началника на О. В. за регистриране на 17 договори за наем на земеделски земи по реда на Наредба №49/2004г. за поддържане картата за възстановената собственост, като административното производство е започнало въз основа на заявление вх.№1942/07.08.2017г на жалбоподателя. Върховен административен съд е изпрател жалбата по компетентност на Административен съд – Монтана.</w:t>
        <w:tab/>
        <w:br/>
        <w:tab/>
        <w:t xml:space="preserve"> </w:t>
        <w:tab/>
        <w:br/>
        <w:tab/>
        <w:t xml:space="preserve"> С разпореждане от 18.12.2017г Административен съд-Монтана е разделил производството по отделните вписани договори, като по обжалване отказа от регистриране на договор рег.№5261/02.08.2017г е образувано адм. д. №569/2017г по описа на съда.С определение №42 от 16.01.2018г. АС–Монтана е прекратил производството по образуваното дело и е изпратил същото по подсъдност на РС-Лом, като е приел за приложима разпоредбата на пар. 19, ал. 1 от ПЗР към ЗИД на АПК. </w:t>
        <w:tab/>
        <w:br/>
        <w:tab/>
        <w:t xml:space="preserve"> </w:t>
        <w:tab/>
        <w:br/>
        <w:tab/>
        <w:t xml:space="preserve"> С определение №237 от 22.01.2018г. по гр. дело № 164/2018г. РС Лом е изпратил делото за определяне на подсъдността на основание чл. 135, ал. 5 АПК от състав на Върховния касационен съд и Върховния административен съд, тъй като е счел, че доколкото се касае за отказ от извършване на административна услуга, производството следва да се развие по реда на чл. 128, ал. 1 АПК, т. е. пред административен съд.</w:t>
        <w:tab/>
        <w:br/>
        <w:tab/>
        <w:t xml:space="preserve"> </w:t>
        <w:tab/>
        <w:br/>
        <w:tab/>
        <w:t xml:space="preserve"> Настоящият петчленен състав на Върховния касационен съд и Върховния административен съд намира, че компетентен да разгледа жалбата е Районен съд–Лом, по следните съображения: </w:t>
        <w:tab/>
        <w:br/>
        <w:tab/>
        <w:t xml:space="preserve"> </w:t>
        <w:tab/>
        <w:br/>
        <w:tab/>
        <w:t xml:space="preserve"> С приемането на пар. 19 ПЗРЗИД АПК, обн.ДВ бр. 39 от 20.05.2011г, бе направено отклонение от общото правило, отнасящо се до индивидуалните административни актове и отказите за издаването им по ЗСПЗЗ и ППЗСПЗЗ, което отклонение засяга и административните услуги по същия закон, доколкото съгласно пар. 8 ПЗР АПК правилата на производства за издаване на индивидуални административни актове и обжалването им по административен и съдебен ред изрично бях посочени като приложими и по отношение на административните услуги, ако в специален закон не е предвидено друго. Към момента на влизане в сила на пар. 19 ал. 1 ПЗР ЗИДАПК (ДВ бр. 39/ 20.05.2011 г.) режимът на обжалване на индивидуалните административни актове и административните услуги е приравнен. Водещ критерии при определянето на съда, компетентен да разглежда тези спорове е материалният закон, по който е издаден индивидуалния административен акт, поради това административните услуги по същия закон не са релевантно отличими при определянето на компетентния съд, Отказът за регистриране на договори за наем на земеделски земи, представени пред О. на основание чл. 37б ал. 1 ЗСПЗЗ, е отказ за извършване на административна услуга по смисъла на пар. 1, т. 2 б.”в” ЗА която услуга е предвидена в ЗСПЗЗ и поради това компетентен да се произнесе по законосъобразността е районният съд по местонахождение на имота, на основание пар. 19 ал. 1 ПЗР ЗИДАПК (ДВ бр. 39/ 20.05.2011 г.) </w:t>
        <w:tab/>
        <w:br/>
        <w:tab/>
        <w:t xml:space="preserve"> </w:t>
        <w:tab/>
        <w:br/>
        <w:tab/>
        <w:t xml:space="preserve"> Водим от горното, настоящият петчленен състав на Върховния касационен съд и Върховния административен съд</w:t>
        <w:tab/>
        <w:br/>
        <w:tab/>
        <w:t xml:space="preserve"> </w:t>
        <w:tab/>
        <w:br/>
        <w:tab/>
        <w:t xml:space="preserve"> ОПРЕДЕЛИ:</w:t>
        <w:tab/>
        <w:br/>
        <w:tab/>
        <w:t xml:space="preserve"> </w:t>
        <w:tab/>
        <w:br/>
        <w:tab/>
        <w:t xml:space="preserve"> КОМПЕТЕНТЕН да се произнесе по подадената от [фирма], [населено място] жалба срещу мълчалив отказ на О.с. по з.- [населено място] за регистрация на договор за наем на земеделски земи, вписан в Службата по вписванията в [населено място] с вх.№ рег.№5261/02.08.2017г. , е РАЙОНЕН СЪД - ЛОМ.</w:t>
        <w:tab/>
        <w:br/>
        <w:tab/>
        <w:t xml:space="preserve"> </w:t>
        <w:tab/>
        <w:br/>
        <w:tab/>
        <w:t xml:space="preserve"> ИЗПРАЩА делото по подсъдност на Районен съд - Лом. На Административен съд - Монтана да се изпрати препис от определението, за сведение.</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 ЧЛЕНОВЕ: 1. </w:t>
        <w:tab/>
        <w:br/>
        <w:tab/>
        <w:t xml:space="preserve"> </w:t>
        <w:tab/>
        <w:br/>
        <w:tab/>
        <w:t xml:space="preserve"> 2.</w:t>
        <w:tab/>
        <w:br/>
        <w:tab/>
        <w:t xml:space="preserve"> </w:t>
        <w:tab/>
        <w:br/>
        <w:tab/>
        <w:t xml:space="preserve"> 3.</w:t>
        <w:tab/>
        <w:br/>
        <w:tab/>
        <w:t xml:space="preserve"> </w:t>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