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№40/15.10.2020 по гр. д. №13/2020 на ВКС, ГК,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40</w:t>
        <w:tab/>
        <w:br/>
        <w:tab/>
        <w:t xml:space="preserve"> </w:t>
        <w:tab/>
        <w:br/>
        <w:tab/>
        <w:t xml:space="preserve">гр. София, 15.10. 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и Върховен административен съд, петчленен състав, в закрито заседание на двадесет и осми септември две хиляди и двадесета година в състав:</w:t>
        <w:tab/>
        <w:br/>
        <w:tab/>
        <w:t xml:space="preserve"/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Т. Н 2. В. П</w:t>
        <w:tab/>
        <w:br/>
        <w:tab/>
        <w:t xml:space="preserve"> </w:t>
        <w:tab/>
        <w:br/>
        <w:tab/>
        <w:t xml:space="preserve"> 3. Е. В</w:t>
        <w:tab/>
        <w:br/>
        <w:tab/>
        <w:t xml:space="preserve"> </w:t>
        <w:tab/>
        <w:br/>
        <w:tab/>
        <w:t xml:space="preserve"> 4. Е. И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13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135, ал. 4 АПК.</w:t>
        <w:tab/>
        <w:br/>
        <w:tab/>
        <w:t xml:space="preserve"> </w:t>
        <w:tab/>
        <w:br/>
        <w:tab/>
        <w:t xml:space="preserve"> Образувано е по повдигнат спор за подсъдност с определение от 16.06.2020 г., постановено по гр. д.№ 209/2020 г. от състав на Районен съд – Ловеч.</w:t>
        <w:tab/>
        <w:br/>
        <w:tab/>
        <w:t xml:space="preserve"> </w:t>
        <w:tab/>
        <w:br/>
        <w:tab/>
        <w:t xml:space="preserve"> В молбата си до съда и с допълнителна уточняваща такава, С. Л. Н. е поискал от съда да постанови приключване на процедурата по възстановяване на собствеността на правоимащите съгласно влезлия в сила план на новообразуваните имоти в местността „Червен бряг” в строителните граници на [населено място], чрез изпращане по компетентност на АГКК на влезлия в сила план, за нанасяне в кадастралната карта, респ. кадастралния регистър, трасиране на имотите и въвод във владение, както и да се определи подходящ срок за горните действия.</w:t>
        <w:tab/>
        <w:br/>
        <w:tab/>
        <w:t xml:space="preserve"> </w:t>
        <w:tab/>
        <w:br/>
        <w:tab/>
        <w:t xml:space="preserve"> При тези факти настоящият петчленен състав на Върховния касационен съд и Върховния административен съд, приема, че компетентен да разгледа и се произнесе по жалбата е Административен съд – Ловеч, по следните съображения: Според ТП № 2/2017 от 03.04.2018 г. по тълк. дело № 2/2017 г. на О. от ГК НА ВКС и I и II колегия на ВАС за да се приложи § 19 ПЗР на ЗИД АПК жалбата трябва да е срещу индивидуален административен акт, който се издава по ППЗСПЗЗ или отказ да бъде издаден такъв. В случая картата на възстановената собственост не се създава въз основа единствено на ЗСПЗЗ и нормативните актове по прилагането му. Тя се създава и въз основа на ЗВСГЗГФ и актовете по прилагането му и обслужва целите и на други закони. Съгласно чл. 2 от Наредба № 49/05.11.2004 г. за поддържане на картата на възстановената собственост (ДВ бр. 102/2004 г.) въз основа на КВС се изработват карти на лозарски райони по ЗВСН (ЗАКОН ЗА ВИНОТО И СПИРТНИТЕ НАПИТКИ), карти на хидромелиоративната инфраструктура по чл. 19 от ЗСН (ЗАКОН ЗА СДРУЖЕНИЯ ЗА НАПОЯВАНЕ), специализирани карти, схеми и устройствени планове, предвидени в друг закон или нормативен/административен акт и т. н. Съществуването на картата на възстановената собственост е временно – до одобряването на кадастрална карта и регистри за съответния район, след което дейността по нейното поддържане и правомощията на ОСЗ за издаване на скици се прекратяват (пар. 4 ПЗР ЗКИР). От изложеното е видно, че картата на възстановената собственост нито е създадена само за имотите по ЗСПЗЗ, нито има други функции, различни от тези на кадастралната карта и регистри. Пред общия съд подлежат на обжалване само индивидуалните административни актове по ЗСПЗЗ и отказите за издаването им. Поддържането на картата на възстановената собственост и издаването на скици въз основа на нея не е дейност, свързана със земеделската реституция. </w:t>
        <w:tab/>
        <w:br/>
        <w:tab/>
        <w:t xml:space="preserve"> </w:t>
        <w:tab/>
        <w:br/>
        <w:tab/>
        <w:t xml:space="preserve"> Ето защо, настоящият петчленен състав на съдии от Върховния касационен съд и Върховния административен съд приема, че компетентен да се произнесе по жалбата е Административен съд - Ловеч. </w:t>
        <w:tab/>
        <w:br/>
        <w:tab/>
        <w:t xml:space="preserve"> </w:t>
        <w:tab/>
        <w:br/>
        <w:tab/>
        <w:t xml:space="preserve"> По изложените съображения смесеният петчленен състав на Върховния касационен съд и Върховният административен съд,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КОМПЕТЕНТЕН да се произнесе по жалбата на С. Л. Н. за изпращане по компетентност на АГКК на влезлия в сила план, за нанасяне в кадастралната карта, респ. кадастралния регистър, трасиране на имотите и въвод във владение, както и да се определи подходящ срок за горните действия, е Административен съд – Ловеч.</w:t>
        <w:tab/>
        <w:br/>
        <w:tab/>
        <w:t xml:space="preserve"> </w:t>
        <w:tab/>
        <w:br/>
        <w:tab/>
        <w:t xml:space="preserve"> Определението е окончателно, като препис от определението да се изпрати на Районен съд - Ловеч, за сведение.</w:t>
        <w:tab/>
        <w:br/>
        <w:tab/>
        <w:t xml:space="preserve"> </w:t>
        <w:tab/>
        <w:br/>
        <w:tab/>
        <w:t xml:space="preserve"> 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