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№686/13.02.2026 по гр. д. №4267/2025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686</w:t>
        <w:tab/>
        <w:br/>
        <w:tab/>
        <w:t xml:space="preserve"/>
        <w:tab/>
        <w:br/>
        <w:tab/>
        <w:t xml:space="preserve">Гр. София, 13.02.2026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четвърти февруари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ИВО ДАЧЕВ</w:t>
        <w:tab/>
        <w:br/>
        <w:tab/>
        <w:t xml:space="preserve"/>
        <w:tab/>
        <w:br/>
        <w:tab/>
        <w:t xml:space="preserve">като разгледа докладваното от съдията Дачев ч. гр. д. № 4267 по описа за 2025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Комисията за отнемане на незаконно придобито имущество, чрез процесуален представител А. В. - държавен инспектор към ТД в [населено място], срещу въззивно решение № 137 от 15.07.2025 г. постановено по гр. д. № 555/2024 г. на Варненски апелативен съд, в частта, с която е потвърдено първоинстанционото решение от 05.06.2024 г. на Шуменския окръжен съд по гр. д. № 343/2017 г. за отхвърляне на исковете срещу Д. Д. П., В. Д. П., Д. Д. П., “М. Г.“ Е. и ЕТ „М. - Г. Д.“ за отнемане в полза на държавата на имущество на стойност 780 285.30 лв., с изключение на нивата в [населено място] с площ от 2.999 дка в местността „Ю.“. </w:t>
        <w:tab/>
        <w:br/>
        <w:tab/>
        <w:t xml:space="preserve"/>
        <w:tab/>
        <w:br/>
        <w:tab/>
        <w:t xml:space="preserve">В изложението на касационните основания относно допустимостта на касационното обжалване се поддържа наличие на основания по чл. 280, ал. 1, т. 1 и 3 от ГПК.</w:t>
        <w:tab/>
        <w:br/>
        <w:tab/>
        <w:t xml:space="preserve"/>
        <w:tab/>
        <w:br/>
        <w:tab/>
        <w:t xml:space="preserve">Сред въпросите, които според касатора са обусловили правните изводи на въззивния съд по предмета на спора, е поставен и следният: „Съществува ли норма, съгласно която отнемане на имущество по реда на ЗОНПИ е възможно само ако се докаже връзка между деянието, станало формален повод за образуване на проверката, и средствата, вложени в придобиването му“, както и въпросът: „Какъв е стандартът на доказване за установяване на връзка между незаконна дейност и придобито имущество в производствата по ЗОНПИ, и достатъчно ли е за спазване на принципа на пропорционалност по чл. 1 от Протокол 1 към ЕКЗПЧОС установяване на обосновано предположение за наличие на такава връзка“. </w:t>
        <w:tab/>
        <w:br/>
        <w:tab/>
        <w:t xml:space="preserve"/>
        <w:tab/>
        <w:br/>
        <w:tab/>
        <w:t xml:space="preserve">Настоящият състав на Трето гражданско отделение на Върховния касационен съд констатира, че така формулираните от жалбоподателя въпроси попадат в обхвата на висящото тълкувателно дело № 1/2026 г. на ОСГК на ВКС и поставения за разглеждане пред Общото събрание на колегията въпрос, разрешаван противоречиво от съдилищата. Поради това, настоящото касационно производство следва да бъде спряно до постановяване на тълкувателно решение по посоченото дело. </w:t>
        <w:tab/>
        <w:br/>
        <w:tab/>
        <w:t xml:space="preserve"/>
        <w:tab/>
        <w:br/>
        <w:tab/>
        <w:t xml:space="preserve">Така мотивиран, Върховният касационен съд, Трето гражданско отделение, на основание чл. 229, ал. 1, т. 4 вр. чл. 292 ГПК,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СПИРА ПРОИЗВОДСТВОТО по настоящото гр. д. № 4267/2025 г. на ВКС, ІІІ г. о., до приемане на Тълкувателно решение по тълкувателно дело № 1/2026 г. на ОСГК на ВКС.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