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№7367/21.07.2022 по адм. д. №387/2022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7367 София, 21.07.2022 г. В ИМЕТО НА НАРОДА</w:t>
        <w:tab/>
        <w:br/>
        <w:tab/>
        <w:t xml:space="preserve">Върховният административен съд на Република България - Седмо отделение, в съдебно заседание на единадесети април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Даниела Божкова изслуша докладваното от съдията Юлия Раева по административно дело № 387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„Водоснабдяване и канализация“ ООД [ЕИК] със седалище и адрес на управление гр. Перник, кв. „Варош“, ул. „Средец“ № 11 срещу Решение № 212 от 29.10.2021 г. по адм. дело № 387/2021 г. на Административен съд - Перник, с което e отхвърлена жалбата на дружеството срещу Решение от 29.07.2021 г. на ръководителя на Управляващия орган (УО) на Оперативна програма „Околна среда“ (ОПОС) 2014-2020 г. за определяне на финансова корекция на „Водоснабдяване и канализация“ ЕООД – гр. Перник в размер от 5 % от стойността на допустимите за финансиране от ОПОС разходи по договор № ОП-76/29.04.2021 г. с изпълнител „КЛПВ 2020“ ДЗЗД на стойност 44 751 120 лв. по Обособена позиция (ОП) № 1; договор № ОП-77/29.04.2021 г. с изпълнител „КВ Радомир“ ДЗЗД на стойност 2 840 495 лв. по ОП № 2; договор № ОП-83/25.05.2021 г. с изпълнител „Радомир 2020“ ДЗЗД на стойност 9 123 134,10 лв. по ОП № 3.</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Излага аргументи за липса на установените от органа нарушения, съответно за неосъществен състав на нередност и липса на основание за определяне на финансова корекция. Прави искане за отмяна на обжалвания съдебен акт. Претендира разноски по делото за двете съдебни инстанции.</w:t>
        <w:tab/>
        <w:br/>
        <w:tab/>
        <w:t xml:space="preserve">Ответникът – ръководителят на Управляващия орган на Оперативна програма „Околна среда“, чрез процесуалния си представител изразява становище за неоснователност на касационната жалба. Моли обжалваното решение да бъде оставено в сила. Претендира разноски. Прави възражение за прекомерност на адвокатското възнаграждение, претендирано от другата страна.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при спазване на срока по чл. 211, ал. 1 АПК и срещу решение, което подлежи на обжалване, поради което е процесуално допустима. Разгледана по същество, същата е основателна.</w:t>
        <w:tab/>
        <w:br/>
        <w:tab/>
        <w:t xml:space="preserve">С обжалваното решение административният съд е отхвърлил жалбата на „Водоснабдяване и канализация“ ЕООД – гр. Перник срещу Решение от 29.07.2021 г. на ръководителя на Управляващия орган на Оперативна програма „Околна среда“ (ОПОС) 2014-2020 г. за определяне на финансова корекция на „Водоснабдяване и канализация“ ЕООД – гр. Перник в размер от 5 % от стойността на допустимите за финансиране от ОПОС разходи по договор № ОП-76/29.04.2021 г. с изпълнител „КЛПВ 2020“ ДЗЗД на стойност 44 751 120 лв. по Обособена позиция (ОП) № 1; договор № ОП-77/29.04.2021 г. с изпълнител „КВ Радомир“ ДЗЗД на стойност 2 840 495 лв. по ОП № 2; договор № ОП-83/25.05.2021 г. с изпълнител „Радомир 2020“ ДЗЗД на стойност 9 123 134,10 лв. по ОП № 3.</w:t>
        <w:tab/>
        <w:br/>
        <w:tab/>
        <w:t xml:space="preserve">Административният акт е издаден на основание чл. 70, ал. 1, т. 9 от Закона за управление на средствата от Европейските структурни и инвестиционни фондове (ЗУСЕСИФ). Мотивиран е с констатации за следните нарушения:</w:t>
        <w:tab/>
        <w:br/>
        <w:tab/>
        <w:t xml:space="preserve">1. Ограничителен критерий за подбор - нарушение на чл. 3, ал. 3 от Закона за камарата на строителите (ЗКС) във връзка с чл. 2, ал. 2 от Закона за обществените поръчки (ЗОП)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За посочената нередност наредбата предвижда процентен показател 5 %.</w:t>
        <w:tab/>
        <w:br/>
        <w:tab/>
        <w:t xml:space="preserve">Ограничителният критерий е предвиден в раздел ІV, т. 4.3.1 от документацията за участие в процедурата по възлагане на обществена поръчка. Става въпрос за критерий за подбор във връзка годността за упражняване на професионална дейност на участниците – при участие на обединения, които не са юридически лица, възложителят е поставил изискване към от всяко от лицата, включени в обединението, което ще изпълнява строителни дейности, съобразно разпределението на участието на лицата при изпълнение на дейностите, предвидено в договора за създаване на обединение, да докаже, че е вписано в Централния професионален регистър на строителя за изпълнение на строежи от четвърта група, първа категория по обособени позиции № 1 и № 2 и за изпълнение на строежи от четвърта група, втора категория по обособена позиция № 3.</w:t>
        <w:tab/>
        <w:br/>
        <w:tab/>
        <w:t xml:space="preserve">Според административния орган е достатъчно един участник в обединението да е вписан в регистъра, поради което чрез поставянето на спорния критерий възложителят е ограничил неправомерно кръга на допустимите участници.</w:t>
        <w:tab/>
        <w:br/>
        <w:tab/>
        <w:t xml:space="preserve">2. Незаконосъобразна методика за оценка – нарушение на чл. 70, ал. 5 и 7 във връзка с чл. 2, ал. 2 ЗОП, квалифицирано като нередност по т. 11, б. „б“ от Приложение № 1 към чл. 2, ал. 1 от Наредбата за посочване на нередности. За посочената нередност наредбата предвижда процентен показател 5 %.</w:t>
        <w:tab/>
        <w:br/>
        <w:tab/>
        <w:t xml:space="preserve">Според административния орган предвидените надграждащи обстоятелства са с неясно съдържание - в противоречие с чл. 70, ал. 5 и 7 ЗОП.</w:t>
        <w:tab/>
        <w:br/>
        <w:tab/>
        <w:t xml:space="preserve">Процесните договори са сключени във връзка с възлагане на обществена поръчка с предмет: Инженеринг (проектиране, авторски надзор и строителство) по проект: „Изграждане на ВиК инфраструктура на обособената територия, обслужвана от „ВиК“ ООД - Перник“ по три обособени позиции: 1. Реконструкция на водопроводна мрежа, разширение и реконструкция на канализационна мрежата на гр. Перник; 2. Реконструкция на водопроводната мрежа и разширение и реконструкция на канализационната мрежа на гр. Радомир (без квартал Върба); 3. Реконструкция на водопроводната мрежа, разширение и реконструкция на канализационната мрежа на кв. Върба, гр. Радомир, 2 КПС и тласкатели до ПСОВ Батановци.</w:t>
        <w:tab/>
        <w:br/>
        <w:tab/>
        <w:t xml:space="preserve">При проверка на законосъобразността на акта съдът е приел, че административният акт е издаден от компетентен орган, в законоустановената писмена форма и без допуснати съществени нарушения на административнопроизводствените правила. По приложението на материалния закон съдът е обосновал извод, че констатациите за допуснатите от бенефициера нередности се подкрепят от събраните по делото доказателства и съответстват на приложимия закон.</w:t>
        <w:tab/>
        <w:br/>
        <w:tab/>
        <w:t xml:space="preserve">Решението е валидно и допустимо, но неправилно поради нарушение на материалния закон.</w:t>
        <w:tab/>
        <w:br/>
        <w:tab/>
        <w:t xml:space="preserve">1. Безспорно е, че съгласно чл. 3, ал. 2 ЗКС строителите, които изпълняват строежи от първа до пета категория по чл. 137, ал. 1 ЗУТ или отделни видове строителни и монтажни работи, посочени в Националната класификация на икономическите дейности, позиция „Строителство“, подлежат на вписване в Централния професионален регистър на строителя. Това законово изискване значи, че тогава, когато участник в обществената поръчка е обединение, което не е юридическо лице, изискването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класификация на икономическите дейности. За тези от участниците в обединението, които ще извършват строителни и монтажни дейности, които не представляват строеж от първа до пета категория или които не са включени в Националната класификация на икономическите дейности, не е налице законово изискване за вписване в регистъра. С оглед на това изискването за вписване в регистъра по отношение на обединение, което не е юридическо лице, за да е съответно на закона, следва да конкретизира, че е приложимо единствено за тези от участниците, които съобразно разпределението на дейностите, установено в договора за създаване на обединение, ще изпълняват дейностите по смисъла на чл. 3, ал. 2 ЗКС, за които се изисква вписване в регистъра.</w:t>
        <w:tab/>
        <w:br/>
        <w:tab/>
        <w:t xml:space="preserve">Разпоредбата на чл. 3, ал. 3 ЗКС, съгласно която при обединение на физически и юридически лица за извършване на дейностите по чл. 3, ал. 2 ЗКС, поне един от участниците в обединението трябва да е вписан в регистъра, не води до извод за липса на необходимост от вписване в регистъра на лица, които с оглед на разпределението на дейностите в рамките на обединението ще изпълняват строежи от първа до пета категория или строителни и монтажни работи, включени в Националната класификация на икономическите дейности, защото тази възможност следва да се преценява в контекста на установеното в алинея 4 – участието в обединение не поражда права за лицата, които не са вписани в регистъра, самостоятелно да изпълняват строежи или отделни строителни и монтажни работи по смисъла на алинея 2.</w:t>
        <w:tab/>
        <w:br/>
        <w:tab/>
        <w:t xml:space="preserve">От горното следва, че изводът на органа и съда за допуснато нарушение на чл. 3, ал. 3 ЗКС е неправилен. Нарушение би имало тогава, когато в документацията за съответната обществена поръчка като критерий за подбор е поставено изискване за регистрация на всеки член на обединението, който ще извършва строителни дейности, но без уточнението „съобразно разпределението на участието на лицата при изпълнение на дейностите, предвидено в договора за създаване на обединение“. Тогава, когато в критериите за подбор това условие не е посочено, а е посочено, че регистрацията се изисква от всеки член на обединението, който ще извършва дейностите по строителството (с различни варианти на изказа), безспорно е налице ограничително условие, но не защото е достатъчно поне един от участниците да е регистриран, а защото по този начин би могло да се изисква регистрация и за участник, който ще извършва строителни и монтажни дейности, за които не се изисква регистрация.</w:t>
        <w:tab/>
        <w:br/>
        <w:tab/>
        <w:t xml:space="preserve">Допълнително следва да бъде отбелязано, че липсват конкретни съображения на административния орган в подкрепа на констатацията в частта й за допуснато нарушение на чл. 2, ал. 2 ЗОП. Съгласно посочената разпоредба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административния акт не се съдържат мотиви с какво не е съобразен спорният критерий - с предмета, стойността, сложността, количеството или обема на обществената поръчка. Цитирането на съдържанието на конкретна норма не е равнозначно на мотиви, обосноваващи нарушаването й.</w:t>
        <w:tab/>
        <w:br/>
        <w:tab/>
        <w:t xml:space="preserve">2. Не е налице и второто констатирано от органа нарушение.</w:t>
        <w:tab/>
        <w:br/>
        <w:tab/>
        <w:t xml:space="preserve">В одобрената Методика за определяне на комплексна оценка на офертите, показателите и относителната им тежест е предвидено, че критерият за оценка на офертите е „оптимално съотношение качество/цена“. Класирането се извършва в зависимост от комплексната оценка, която се формира като сбор от получените точки по отделните показатели за оценка. Максималната комплексна оценка (КО) е 20 точки. Тя се изчислява по формулата: КО = Т+Ц, където Т е оценка на техническото предложение, за което е предвиден максимален брой от 10 т. и Ц е предлаганата цена, с максимален брой от 10 т. Максималната комплексна оценка е 20 точки. Показателите за оценка са два: техническо предложение и предлагана цена.</w:t>
        <w:tab/>
        <w:br/>
        <w:tab/>
        <w:t xml:space="preserve">Техническото предложение се подлага на експертна оценка, като за него може да се получи:</w:t>
        <w:tab/>
        <w:br/>
        <w:tab/>
        <w:t xml:space="preserve">1 т. - когато офертата отговаря на изискванията към съдържанието на предложението за изпълнение на поръчката и е в съответствие с изискванията, заложени в техническата спецификация;</w:t>
        <w:tab/>
        <w:br/>
        <w:tab/>
        <w:t xml:space="preserve">5 т. - когато офертата отговаря на изискванията за 1 т. и по отношение на нея се установи обстоятелство под № 1;</w:t>
        <w:tab/>
        <w:br/>
        <w:tab/>
        <w:t xml:space="preserve">10 т. - когато офертата отговаря на условията за 1 т. и по отношение на нея се установят кумулативно наличието на обстоятелствата под № 1 и № 2.</w:t>
        <w:tab/>
        <w:br/>
        <w:tab/>
        <w:t xml:space="preserve">Обстоятелствата, обосноваващи оценяването на офертите с по-голям брой точки, са две групи: 1. предвиждане на мерки за осигуряване на навременна доставка на необходимите строителни продукти, предназначени за влагане в обекта и за извършване на входящия контрол за качество и съответствие на доставяните продукти с предвижданията на инвестиционния проект и нормативните изисквания и 2. предвиждане на мерки за осигуряване на качеството по време на изпълнение на проектирането, строителството и авторския надзор. Уточнено е, че за всяка една от мерките трябва да са посочени: същност и обхват, план за прилагане, експерт и/или служител, ангажиран с изпълнението на дейностите по прилагането и, с посочване на задълженията при изпълнението на всяка от дейностите, очаквания ефект от изпълнението за гарантиране на качеството изпълнение на възложените дейности и на договора като цяло, съобразно изискванията на възложителя. А за мерките по обстоятелство № 2 и действия на членовете на екипа за изпълнение на поръчката по контрол на изпълнението на предложения пран за прилагане.</w:t>
        <w:tab/>
        <w:br/>
        <w:tab/>
        <w:t xml:space="preserve">Според органа и съда въпреки дадената дефиниция на „навременно“ и „качествено изпълнение“, предвидени като цели на посочените от участниците мерки, обосноваващи по-висока оценка на офертите, тяхното значение е неясно.</w:t>
        <w:tab/>
        <w:br/>
        <w:tab/>
        <w:t xml:space="preserve">В определението за „навременност“ не се влага по-различен смисъл от базовите изисквания за спазване на определените от възложителя срокове. Същото се отнася и за понятието „качествено изпълнение“ - не е ясно какво извън заложеното спазване на нормативната уредба, изискванията на възложителя и на договора, дава основание за присъждане на повече точки.</w:t>
        <w:tab/>
        <w:br/>
        <w:tab/>
        <w:t xml:space="preserve">Отсъствието на разлики в смисъла на базовите и надграждащите изисквания за оценка е предпоставка за неограничена свобода при оценяването на офертите, тъй като съответствието на техническото предложението с основните изисквания за допускане до оценка може да обоснове както поставяне на минимална оценка от 1 т., така и на максимална такава от 10 т.</w:t>
        <w:tab/>
        <w:br/>
        <w:tab/>
        <w:t xml:space="preserve">Изводът на органа и на съда за незаконосъобразна методика е неправилен.</w:t>
        <w:tab/>
        <w:br/>
        <w:tab/>
        <w:t xml:space="preserve">От анализа на базовите изисквания и надграждащите ги обстоятелства се установява, че надграждащите обстоятелства надхвърлят базовото изискване за съответствие с изискванията от техническата спецификация. Надграждащите елементи имат самостоятелно значение като мерки за гарантиране на навременно и качествено изпълнение. Няма пречка, нито е незаконосъобразно, бенефициерът да изисква допълнителни действия/мерки, които да бъдат предприети относно качеството на изпълнението и спазване на срока за изпълнение.</w:t>
        <w:tab/>
        <w:br/>
        <w:tab/>
        <w:t xml:space="preserve">Обявеният начин за оценяване по надграждащите обстоятелства е валиден за всички потенциални кандидати и участници, които могат да представят своята оферта. В този смисъл е налице изискуемата от закона предвидимост на действията на възложителя и назначената от него помощна комисия. Заложените минимални и допълнителни изисквания, осигуряващи възможност за по–високо оценяване на офертите, осигуряват нужната за комисията информация за извършване на оценката на офертите. Липсва неяснота в методиката, която да води до субективизъм при оценяване на офертите на участниците, както се твърди от административния орган. Относно надграждащите обстоятелства възложителят е поставил ясни, конкретни и непротиворечащи си изисквания, като целта им е в най-висока степен да се оцени способността на потенциалните изпълнители за качествено и срочно изпълнение на предмета на поръчката.</w:t>
        <w:tab/>
        <w:br/>
        <w:tab/>
        <w:t xml:space="preserve">Като е отхвърлил жалбата на дружеството срещу оспорения административен акт, първоинстанционният съд е постановил неправилно решение – в нарушение на материалния закон, което следва да се отмени и вместо него да се постанови друго по същество на спора, с което да се отмени оспореното решение на ръководителя на УО на ОПОС.</w:t>
        <w:tab/>
        <w:br/>
        <w:tab/>
        <w:t xml:space="preserve">С оглед на изхода от спора, направено от касатора искане и на основание чл. 143, ал. 1 АПК съдът следва да осъди Министерството на околната среда и водите – юридическото лице, в чиято структура е органът – ответник, да заплати на касационния жалбоподател направените по делото разноски в общ размер на 49 000 лв., от които 1 700 лв. държавна такса и 22 800 лв. адвокатско възнаграждение за първата инстанция и 1 700 лв. държавна такса и 22 800 лв. адвокатско възнаграждение за касационната инстанция. Възражението на ответника за прекомерност на претендираното адвокатско възнаграждение е неоснователно, тъй като договореният и платен размер с включен ДДС съответства на действителната правна и фактическа сложност на делото и е близък до минималния предвиден в чл. 8, ал. 1, т. 6 от Наредба № 1 от 9.07.2004 г. за минималните размери на адвокатските възнаграждения.</w:t>
        <w:tab/>
        <w:br/>
        <w:tab/>
        <w:t xml:space="preserve">Водим от горното и на основание чл. 221, ал. 2 във връзка с чл. 222, ал. 1 АПК Върховният административен съд</w:t>
        <w:tab/>
        <w:br/>
        <w:tab/>
        <w:t xml:space="preserve">РЕШИ:</w:t>
        <w:tab/>
        <w:br/>
        <w:tab/>
        <w:t xml:space="preserve">ОТМЕНЯ Решение № 212 от 29.10.2021 г. по адм. дело № 387/2021 г. на Административен съд – Перник и вместо него ПОСТАНОВЯВА:</w:t>
        <w:tab/>
        <w:br/>
        <w:tab/>
        <w:t xml:space="preserve">ОТМЕНЯ Решение от 29.07.2021 г. на ръководителя на Управляващия орган на Оперативна програма „Околна среда“ 2014-2020 г. за определяне на финансова корекция на „Водоснабдяване и канализация“ ЕООД – гр. Перник в размер от 5 % от стойността на допустимите за финансиране от Оперативна програма „Околна среда“ разходи по договор № ОП-76/29.04.2021 г. с изпълнител „КЛПВ 2020“ ДЗЗД на стойност 44 751 120 лв., договор № ОП-77/29.04.2021 г. с изпълнител „КВ Радомир“ ДЗЗД на стойност 2 840 495 лв.; договор № ОП-83/25.05.2021 г. с изпълнител „Радомир 2020“ ДЗЗД на стойност 9 123 134,10 лв.</w:t>
        <w:tab/>
        <w:br/>
        <w:tab/>
        <w:t xml:space="preserve">ОСЪЖДА Министерството на околната среда и водите да заплати на „Водоснабдяване и канализация“ ООД [ЕИК] със седалище и адрес на управление гр. Перник, кв. „Варош“, ул. „Средец“ № 11 разноски в размер на 49 000 лв. (четиридесет и девет хиляди лева)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