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№219/23.06.2015 по гр. д. №3225/2014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Михайлова гр. д. № 3225 по описа за 2014 г.</w:t>
        <w:tab/>
        <w:br/>
        <w:tab/>
        <w:t xml:space="preserve"> </w:t>
        <w:tab/>
        <w:br/>
        <w:tab/>
        <w:t xml:space="preserve">Молителят С. С. С. иска да бъде освободена сумата 3000 лв, която е внесъл с платежно нареждане от 02.07.2014 г. и да бъде преведена по посочена банкова сметка.</w:t>
        <w:tab/>
        <w:br/>
        <w:tab/>
        <w:t xml:space="preserve"> </w:t>
        <w:tab/>
        <w:br/>
        <w:tab/>
        <w:t xml:space="preserve">Настоящият състав на Върховния касационен съд констатира, че внесената сума представлява извършено от касатора обезпечение във връзка с изпълнението на осъдително въззивно решение по повод негово искане по чл. 282, ал. 2, т. 2 ГПК. След нейното внасяне с определение № 245/ 04.07.2014 г. по настоящото дело е спряно изпълнението на въззивното решение в частта по исковете с правна квалификация чл. 109 ЗС. Сумата е с характеристиката на парична гаранция и служи за обезпечение на иска за вреди, които ответникът по касация би претърпял, ако осъдителното въззивно решение е спряно неоснователно от Върховния касационен съд по молбата за това, подадена от касатора (аргумент от чл. 282, ал. 4 ГПК). </w:t>
        <w:tab/>
        <w:br/>
        <w:tab/>
        <w:t xml:space="preserve"> </w:t>
        <w:tab/>
        <w:br/>
        <w:tab/>
        <w:t xml:space="preserve">С решение № 267/ 15.05.2015 г. по настоящото дело въззивното решение е отменено от касационната инстанция и исковете са отхвърлени, включително и исковете по чл. 109 ЗС. Касационното решение е влязло в сила на датата, на която е обявено (аргумент от чл. 296, т. 1 ГПК). Изложеното изключва предпоставките за възникването на деликтното вземане, в обезпечение на което касаторът е извършил обезпечението. Това е едната от възможните хипотези, при която паричната гаранция следва да бъде освободена.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</w:t>
        <w:tab/>
        <w:br/>
        <w:tab/>
        <w:t xml:space="preserve"> </w:t>
        <w:tab/>
        <w:br/>
        <w:tab/>
        <w:t xml:space="preserve"> паричната гаранция, внесена с платежно нареждане от 02.07.2014 г. (лист 117 от делото на ВКС), като сумата от 3 000 лв. да се преведе по банкова сметка по молба вх. № 6025/ 25.05.2015 г. с титуляр, посочен в молбата.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