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№1093/21.10.2010 по гр. д. №529/2010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2.стр. от определение по гр. д. № 529/2010 на Върховния касационен съд, ІV ГО 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1093</w:t>
        <w:tab/>
        <w:br/>
        <w:tab/>
        <w:t xml:space="preserve"> </w:t>
        <w:tab/>
        <w:br/>
        <w:tab/>
        <w:t xml:space="preserve">С., 21, октомври 2010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двадесети октомври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529 по описа за 2010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решението на Б. окръжен съд от 22.06.2009 г. по гр. д. № 277/2008, с което е потвърдено частично решението на Б. районен съд от 20.07.2005 г. по гр. д. № 550/2005, като е уважен частично предявеният иск по чл. 207 КТ.</w:t>
        <w:tab/>
        <w:br/>
        <w:tab/>
        <w:t xml:space="preserve"> </w:t>
        <w:tab/>
        <w:br/>
        <w:tab/>
        <w:t xml:space="preserve">Недоволен от решението е касаторът НК “Ж. инфраструктура”, С., представляван от адв. Т. от Б., който го обжалва в срок, като счита, че въззивният съд се е произнесъл по материалноправния въпрос за оценката на липсващите стоково-материални ценности по пазарни цени, който (въпрос) се разрешава противоречиво от съдилищата и има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Ответниците по жалбата Т. Н. Д. и Д. Д. Д., представлявани от адв. Г. от Я. я оспорват, като считат, че повдигнатите въпроси нямат претендираното значение.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обжалваемият интерес на делото пред въззивната инстанция не е под 1.000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само част от липсващите вещи са били нови, друга част са били втора употреба, а трета част негодни за употреба, поради което отчетниците отговарят за тяхната действителна стойност, а не за пазарната им стойност като нови.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въпреки че повдигнатият въпрос обуславя решението по делото, но той не се разрешава противоречиво от съдилищата. Той няма и претендираното значение за точното прилагане на закона и развитието на правото, тъй като въззивният съд е съобразил установената съдебна практика, че причинителят отговаря за действителните вреди, които се определят от пазарната цена липсващите вещи в състоянието, в което са се намирали те, със законната лихва от деня на увреждането, а ако пазарната цена е определена към момента на констатиране на липсата или към по-късен момент – със законната лихва от тогава.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 решението на Б. окръжен съд от 22.06.2009 г. по гр. д. № 277/2008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